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9AA381D" w14:textId="2DFDA1D9" w:rsidR="00F9655A" w:rsidRPr="00A01DEE" w:rsidRDefault="00F9655A" w:rsidP="00847FA1">
      <w:pPr>
        <w:pStyle w:val="CRCoverPage"/>
        <w:tabs>
          <w:tab w:val="right" w:pos="9639"/>
        </w:tabs>
        <w:spacing w:after="0"/>
        <w:rPr>
          <w:b/>
          <w:noProof/>
          <w:sz w:val="24"/>
          <w:szCs w:val="24"/>
          <w:lang w:eastAsia="ko-KR"/>
        </w:rPr>
      </w:pPr>
      <w:bookmarkStart w:id="0" w:name="OLE_LINK2"/>
      <w:bookmarkStart w:id="1" w:name="OLE_LINK1"/>
      <w:r w:rsidRPr="004702E8">
        <w:rPr>
          <w:b/>
          <w:sz w:val="24"/>
          <w:szCs w:val="24"/>
        </w:rPr>
        <w:t>3GPP TSG RAN WG1 #102-e</w:t>
      </w:r>
      <w:r w:rsidRPr="006E473F">
        <w:rPr>
          <w:rFonts w:hint="eastAsia"/>
          <w:b/>
          <w:sz w:val="24"/>
          <w:szCs w:val="24"/>
          <w:lang w:eastAsia="ko-KR"/>
        </w:rPr>
        <w:tab/>
      </w:r>
      <w:r w:rsidR="002D4E38" w:rsidRPr="002D4E38">
        <w:rPr>
          <w:b/>
          <w:sz w:val="24"/>
          <w:szCs w:val="24"/>
          <w:lang w:eastAsia="ko-KR"/>
        </w:rPr>
        <w:t>R1-200614</w:t>
      </w:r>
      <w:r w:rsidR="002D4E38">
        <w:rPr>
          <w:b/>
          <w:sz w:val="24"/>
          <w:szCs w:val="24"/>
          <w:lang w:eastAsia="ko-KR"/>
        </w:rPr>
        <w:t>5</w:t>
      </w:r>
    </w:p>
    <w:bookmarkEnd w:id="0"/>
    <w:p w14:paraId="723797EF" w14:textId="77777777" w:rsidR="007A57E2" w:rsidRPr="001F2CD1" w:rsidRDefault="00F9655A" w:rsidP="00847FA1">
      <w:pPr>
        <w:pStyle w:val="Header"/>
        <w:spacing w:after="240"/>
        <w:rPr>
          <w:rFonts w:eastAsia="Malgun Gothic"/>
          <w:noProof w:val="0"/>
          <w:color w:val="000000"/>
          <w:sz w:val="24"/>
          <w:szCs w:val="24"/>
          <w:lang w:val="en-US" w:eastAsia="ko-KR"/>
        </w:rPr>
      </w:pPr>
      <w:r w:rsidRPr="00E17817">
        <w:rPr>
          <w:rFonts w:cs="Arial"/>
          <w:bCs/>
          <w:sz w:val="24"/>
          <w:szCs w:val="24"/>
          <w:lang w:eastAsia="ja-JP"/>
        </w:rPr>
        <w:t>e-Meeting, August 17th – 28th, 2020</w:t>
      </w:r>
    </w:p>
    <w:p w14:paraId="59CC9F23" w14:textId="77777777" w:rsidR="005104E8" w:rsidRPr="00C2757D" w:rsidRDefault="005104E8" w:rsidP="00847FA1">
      <w:pPr>
        <w:tabs>
          <w:tab w:val="left" w:pos="1985"/>
        </w:tabs>
        <w:wordWrap/>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9473E6">
        <w:rPr>
          <w:rFonts w:ascii="Arial" w:hAnsi="Arial"/>
          <w:color w:val="000000"/>
          <w:sz w:val="24"/>
          <w:szCs w:val="24"/>
        </w:rPr>
        <w:t>8.4.2</w:t>
      </w:r>
    </w:p>
    <w:p w14:paraId="1A01F089" w14:textId="77777777" w:rsidR="00B722E2" w:rsidRPr="00C2757D" w:rsidRDefault="00B722E2" w:rsidP="00847FA1">
      <w:pPr>
        <w:tabs>
          <w:tab w:val="left" w:pos="1985"/>
        </w:tabs>
        <w:wordWrap/>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14:paraId="5775840C" w14:textId="581FF7A0" w:rsidR="00B722E2" w:rsidRPr="005E0AC4" w:rsidRDefault="00B722E2" w:rsidP="00847FA1">
      <w:pPr>
        <w:tabs>
          <w:tab w:val="left" w:pos="1985"/>
        </w:tabs>
        <w:wordWrap/>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7633CA" w:rsidRPr="007633CA">
        <w:rPr>
          <w:rFonts w:ascii="Arial" w:hAnsi="Arial"/>
          <w:color w:val="000000"/>
          <w:sz w:val="24"/>
        </w:rPr>
        <w:t xml:space="preserve">On </w:t>
      </w:r>
      <w:r w:rsidR="009473E6" w:rsidRPr="009473E6">
        <w:rPr>
          <w:rFonts w:ascii="Arial" w:eastAsia="Malgun Gothic" w:hAnsi="Arial"/>
          <w:color w:val="000000"/>
          <w:sz w:val="24"/>
        </w:rPr>
        <w:t>Enhancements on UL time and frequency synchronization for NTN</w:t>
      </w:r>
    </w:p>
    <w:p w14:paraId="525796C0" w14:textId="77777777" w:rsidR="00843C05" w:rsidRPr="00C2757D" w:rsidRDefault="00162A07" w:rsidP="00847FA1">
      <w:pPr>
        <w:pBdr>
          <w:bottom w:val="single" w:sz="12" w:space="1" w:color="auto"/>
        </w:pBdr>
        <w:tabs>
          <w:tab w:val="left" w:pos="1985"/>
        </w:tabs>
        <w:wordWrap/>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14:paraId="053F2E27" w14:textId="77777777" w:rsidR="00162A07" w:rsidRPr="00BF16D8" w:rsidRDefault="00162A07" w:rsidP="00847FA1">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14:paraId="63DA3EF2" w14:textId="77777777" w:rsidR="00D94F4C" w:rsidRPr="001D75BE" w:rsidRDefault="008D2346" w:rsidP="00847FA1">
      <w:pPr>
        <w:wordWrap/>
        <w:spacing w:before="60" w:after="60" w:line="288" w:lineRule="auto"/>
        <w:ind w:firstLine="284"/>
        <w:jc w:val="both"/>
        <w:rPr>
          <w:rFonts w:eastAsia="Malgun Gothic"/>
          <w:color w:val="000000"/>
          <w:sz w:val="22"/>
          <w:szCs w:val="22"/>
        </w:rPr>
      </w:pPr>
      <w:r w:rsidRPr="001D75BE">
        <w:rPr>
          <w:rFonts w:eastAsia="Malgun Gothic"/>
          <w:color w:val="000000"/>
          <w:sz w:val="22"/>
          <w:szCs w:val="22"/>
        </w:rPr>
        <w:t>A new work item on “</w:t>
      </w:r>
      <w:r w:rsidR="00D94F4C" w:rsidRPr="001D75BE">
        <w:rPr>
          <w:rFonts w:eastAsia="Malgun Gothic"/>
          <w:color w:val="000000"/>
          <w:sz w:val="22"/>
          <w:szCs w:val="22"/>
        </w:rPr>
        <w:t>Solutions for NR to support non-terrestrial networks (NTN)</w:t>
      </w:r>
      <w:r w:rsidRPr="001D75BE">
        <w:rPr>
          <w:rFonts w:eastAsia="Malgun Gothic"/>
          <w:color w:val="000000"/>
          <w:sz w:val="22"/>
          <w:szCs w:val="22"/>
        </w:rPr>
        <w:t>” was approved in RAN#8</w:t>
      </w:r>
      <w:r w:rsidR="00D94F4C" w:rsidRPr="001D75BE">
        <w:rPr>
          <w:rFonts w:eastAsia="Malgun Gothic"/>
          <w:color w:val="000000"/>
          <w:sz w:val="22"/>
          <w:szCs w:val="22"/>
        </w:rPr>
        <w:t>6</w:t>
      </w:r>
      <w:r w:rsidRPr="001D75BE">
        <w:rPr>
          <w:rFonts w:eastAsia="Malgun Gothic"/>
          <w:color w:val="000000"/>
          <w:sz w:val="22"/>
          <w:szCs w:val="22"/>
        </w:rPr>
        <w:t xml:space="preserve"> and </w:t>
      </w:r>
      <w:r w:rsidR="00D94F4C" w:rsidRPr="001D75BE">
        <w:rPr>
          <w:rFonts w:eastAsia="Malgun Gothic"/>
          <w:color w:val="000000"/>
          <w:sz w:val="22"/>
          <w:szCs w:val="22"/>
        </w:rPr>
        <w:t>objectives of the work item are as follows</w:t>
      </w:r>
      <w:r w:rsidR="009139F9" w:rsidRPr="001D75BE">
        <w:rPr>
          <w:rFonts w:eastAsia="Malgun Gothic"/>
          <w:color w:val="000000"/>
          <w:sz w:val="22"/>
          <w:szCs w:val="22"/>
        </w:rPr>
        <w:t xml:space="preserve"> [</w:t>
      </w:r>
      <w:r w:rsidR="001F2CD1" w:rsidRPr="001D75BE">
        <w:rPr>
          <w:rFonts w:eastAsia="Malgun Gothic"/>
          <w:color w:val="000000"/>
          <w:sz w:val="22"/>
          <w:szCs w:val="22"/>
        </w:rPr>
        <w:t>1</w:t>
      </w:r>
      <w:r w:rsidR="009139F9" w:rsidRPr="001D75BE">
        <w:rPr>
          <w:rFonts w:eastAsia="Malgun Gothic"/>
          <w:color w:val="000000"/>
          <w:sz w:val="22"/>
          <w:szCs w:val="22"/>
        </w:rPr>
        <w:t>]</w:t>
      </w:r>
      <w:r w:rsidR="00D94F4C" w:rsidRPr="001D75BE">
        <w:rPr>
          <w:rFonts w:eastAsia="Malgun Gothic"/>
          <w:color w:val="000000"/>
          <w:sz w:val="22"/>
          <w:szCs w:val="22"/>
        </w:rPr>
        <w:t>,</w:t>
      </w:r>
    </w:p>
    <w:p w14:paraId="46ADAD45" w14:textId="77777777" w:rsidR="00D94F4C" w:rsidRPr="001D75BE" w:rsidRDefault="00D94F4C" w:rsidP="00847FA1">
      <w:pPr>
        <w:wordWrap/>
        <w:rPr>
          <w:sz w:val="22"/>
          <w:szCs w:val="22"/>
        </w:rPr>
      </w:pPr>
    </w:p>
    <w:p w14:paraId="0FDD045D" w14:textId="77777777" w:rsidR="00D94F4C" w:rsidRPr="001D75BE" w:rsidRDefault="00D94F4C" w:rsidP="00847FA1">
      <w:pPr>
        <w:wordWrap/>
        <w:rPr>
          <w:sz w:val="22"/>
          <w:szCs w:val="22"/>
          <w:lang w:eastAsia="ja-JP"/>
        </w:rPr>
      </w:pPr>
      <w:r w:rsidRPr="001D75BE">
        <w:rPr>
          <w:sz w:val="22"/>
          <w:szCs w:val="22"/>
        </w:rPr>
        <w:t>Enhancing features to address the identified issues due to long propagation delays, large Doppler effects, and moving cells in NTN,</w:t>
      </w:r>
      <w:r w:rsidRPr="001D75BE">
        <w:rPr>
          <w:sz w:val="22"/>
          <w:szCs w:val="22"/>
          <w:lang w:eastAsia="ja-JP"/>
        </w:rPr>
        <w:t xml:space="preserve"> the following should be specified (see TR 38.821):</w:t>
      </w:r>
    </w:p>
    <w:p w14:paraId="2CFD2486" w14:textId="77777777" w:rsidR="00D94F4C" w:rsidRPr="001D75BE" w:rsidRDefault="00D94F4C" w:rsidP="00847FA1">
      <w:pPr>
        <w:widowControl/>
        <w:numPr>
          <w:ilvl w:val="0"/>
          <w:numId w:val="38"/>
        </w:numPr>
        <w:wordWrap/>
        <w:overflowPunct w:val="0"/>
        <w:adjustRightInd w:val="0"/>
        <w:spacing w:before="100" w:beforeAutospacing="1" w:after="100" w:afterAutospacing="1"/>
        <w:textAlignment w:val="baseline"/>
        <w:rPr>
          <w:sz w:val="22"/>
          <w:szCs w:val="22"/>
        </w:rPr>
      </w:pPr>
      <w:r w:rsidRPr="001D75BE">
        <w:rPr>
          <w:sz w:val="22"/>
          <w:szCs w:val="22"/>
        </w:rPr>
        <w:t>Timing relationship enhancements[RAN1,RAN2]</w:t>
      </w:r>
    </w:p>
    <w:p w14:paraId="066F0020" w14:textId="77777777" w:rsidR="00D94F4C" w:rsidRPr="001D75BE" w:rsidRDefault="00D94F4C" w:rsidP="00847FA1">
      <w:pPr>
        <w:widowControl/>
        <w:numPr>
          <w:ilvl w:val="0"/>
          <w:numId w:val="38"/>
        </w:numPr>
        <w:wordWrap/>
        <w:overflowPunct w:val="0"/>
        <w:adjustRightInd w:val="0"/>
        <w:spacing w:before="100" w:beforeAutospacing="1" w:after="100" w:afterAutospacing="1"/>
        <w:textAlignment w:val="baseline"/>
        <w:rPr>
          <w:sz w:val="22"/>
          <w:szCs w:val="22"/>
        </w:rPr>
      </w:pPr>
      <w:r w:rsidRPr="001D75BE">
        <w:rPr>
          <w:sz w:val="22"/>
          <w:szCs w:val="22"/>
        </w:rPr>
        <w:t>Enhancements on UL time and frequency synchronization [RAN1,RAN2]</w:t>
      </w:r>
    </w:p>
    <w:p w14:paraId="6B647E20" w14:textId="77777777" w:rsidR="00D94F4C" w:rsidRPr="001D75BE" w:rsidRDefault="00D94F4C" w:rsidP="00847FA1">
      <w:pPr>
        <w:widowControl/>
        <w:numPr>
          <w:ilvl w:val="0"/>
          <w:numId w:val="38"/>
        </w:numPr>
        <w:wordWrap/>
        <w:overflowPunct w:val="0"/>
        <w:adjustRightInd w:val="0"/>
        <w:spacing w:before="100" w:beforeAutospacing="1" w:after="100" w:afterAutospacing="1"/>
        <w:textAlignment w:val="baseline"/>
        <w:rPr>
          <w:sz w:val="22"/>
          <w:szCs w:val="22"/>
        </w:rPr>
      </w:pPr>
      <w:r w:rsidRPr="001D75BE">
        <w:rPr>
          <w:sz w:val="22"/>
          <w:szCs w:val="22"/>
        </w:rPr>
        <w:t>HARQ</w:t>
      </w:r>
    </w:p>
    <w:p w14:paraId="09477BCD" w14:textId="77777777" w:rsidR="00D94F4C" w:rsidRPr="001D75BE" w:rsidRDefault="00D94F4C" w:rsidP="00847FA1">
      <w:pPr>
        <w:widowControl/>
        <w:numPr>
          <w:ilvl w:val="1"/>
          <w:numId w:val="38"/>
        </w:numPr>
        <w:wordWrap/>
        <w:overflowPunct w:val="0"/>
        <w:adjustRightInd w:val="0"/>
        <w:spacing w:before="100" w:beforeAutospacing="1" w:after="100" w:afterAutospacing="1"/>
        <w:textAlignment w:val="baseline"/>
        <w:rPr>
          <w:sz w:val="22"/>
          <w:szCs w:val="22"/>
        </w:rPr>
      </w:pPr>
      <w:r w:rsidRPr="001D75BE">
        <w:rPr>
          <w:sz w:val="22"/>
          <w:szCs w:val="22"/>
        </w:rPr>
        <w:t>Number of HARQ process [RAN1]</w:t>
      </w:r>
    </w:p>
    <w:p w14:paraId="166529C9" w14:textId="77777777" w:rsidR="00D94F4C" w:rsidRPr="001D75BE" w:rsidRDefault="00D94F4C" w:rsidP="00847FA1">
      <w:pPr>
        <w:widowControl/>
        <w:numPr>
          <w:ilvl w:val="1"/>
          <w:numId w:val="38"/>
        </w:numPr>
        <w:wordWrap/>
        <w:overflowPunct w:val="0"/>
        <w:adjustRightInd w:val="0"/>
        <w:spacing w:before="100" w:beforeAutospacing="1" w:after="100" w:afterAutospacing="1"/>
        <w:textAlignment w:val="baseline"/>
        <w:rPr>
          <w:sz w:val="22"/>
          <w:szCs w:val="22"/>
        </w:rPr>
      </w:pPr>
      <w:r w:rsidRPr="001D75BE">
        <w:rPr>
          <w:sz w:val="22"/>
          <w:szCs w:val="22"/>
        </w:rPr>
        <w:t xml:space="preserve">Enabling / disabling of HARQ feedback as described in the TR 38.821 </w:t>
      </w:r>
      <w:r w:rsidRPr="001D75BE">
        <w:rPr>
          <w:rFonts w:hint="eastAsia"/>
          <w:sz w:val="22"/>
          <w:szCs w:val="22"/>
        </w:rPr>
        <w:t>[</w:t>
      </w:r>
      <w:r w:rsidRPr="001D75BE">
        <w:rPr>
          <w:sz w:val="22"/>
          <w:szCs w:val="22"/>
        </w:rPr>
        <w:t>RAN1&amp;2</w:t>
      </w:r>
      <w:r w:rsidRPr="001D75BE">
        <w:rPr>
          <w:rFonts w:hint="eastAsia"/>
          <w:sz w:val="22"/>
          <w:szCs w:val="22"/>
        </w:rPr>
        <w:t>]</w:t>
      </w:r>
    </w:p>
    <w:p w14:paraId="4200D458" w14:textId="77777777" w:rsidR="00D94F4C" w:rsidRPr="001D75BE" w:rsidRDefault="00D94F4C" w:rsidP="00847FA1">
      <w:pPr>
        <w:wordWrap/>
        <w:rPr>
          <w:sz w:val="22"/>
          <w:szCs w:val="22"/>
        </w:rPr>
      </w:pPr>
    </w:p>
    <w:p w14:paraId="34DF0305" w14:textId="77777777" w:rsidR="00D94F4C" w:rsidRPr="001D75BE" w:rsidRDefault="00D94F4C" w:rsidP="00847FA1">
      <w:pPr>
        <w:wordWrap/>
        <w:rPr>
          <w:sz w:val="22"/>
          <w:szCs w:val="22"/>
        </w:rPr>
      </w:pPr>
      <w:r w:rsidRPr="001D75BE">
        <w:rPr>
          <w:sz w:val="22"/>
          <w:szCs w:val="22"/>
        </w:rPr>
        <w:t>In addition, the following topics should be specified if beneficial and needed</w:t>
      </w:r>
    </w:p>
    <w:p w14:paraId="6A83A27E" w14:textId="77777777" w:rsidR="00D94F4C" w:rsidRPr="001D75BE" w:rsidRDefault="00D94F4C" w:rsidP="00847FA1">
      <w:pPr>
        <w:widowControl/>
        <w:numPr>
          <w:ilvl w:val="0"/>
          <w:numId w:val="38"/>
        </w:numPr>
        <w:wordWrap/>
        <w:overflowPunct w:val="0"/>
        <w:adjustRightInd w:val="0"/>
        <w:spacing w:before="100" w:beforeAutospacing="1" w:after="100" w:afterAutospacing="1"/>
        <w:textAlignment w:val="baseline"/>
        <w:rPr>
          <w:sz w:val="22"/>
          <w:szCs w:val="22"/>
        </w:rPr>
      </w:pPr>
      <w:r w:rsidRPr="001D75BE">
        <w:rPr>
          <w:sz w:val="22"/>
          <w:szCs w:val="22"/>
        </w:rPr>
        <w:t>Enhancement on the PRACH sequence and/or format and extension of the ra-ResponseWindow duration (in the case of UE with GNSS capability but without pre-compensation of timing and frequency offset capabilities) [RAN1/2]</w:t>
      </w:r>
      <w:r w:rsidRPr="001D75BE">
        <w:rPr>
          <w:rFonts w:eastAsia="PMingLiU"/>
          <w:sz w:val="22"/>
          <w:szCs w:val="22"/>
          <w:lang w:eastAsia="zh-TW"/>
        </w:rPr>
        <w:t>.</w:t>
      </w:r>
    </w:p>
    <w:p w14:paraId="56FDA725" w14:textId="77777777" w:rsidR="00D94F4C" w:rsidRPr="001D75BE" w:rsidRDefault="00D94F4C" w:rsidP="00847FA1">
      <w:pPr>
        <w:widowControl/>
        <w:numPr>
          <w:ilvl w:val="0"/>
          <w:numId w:val="38"/>
        </w:numPr>
        <w:wordWrap/>
        <w:overflowPunct w:val="0"/>
        <w:adjustRightInd w:val="0"/>
        <w:spacing w:before="100" w:beforeAutospacing="1" w:after="100" w:afterAutospacing="1"/>
        <w:textAlignment w:val="baseline"/>
        <w:rPr>
          <w:sz w:val="22"/>
          <w:szCs w:val="22"/>
        </w:rPr>
      </w:pPr>
      <w:r w:rsidRPr="001D75BE">
        <w:rPr>
          <w:sz w:val="22"/>
          <w:szCs w:val="22"/>
        </w:rPr>
        <w:t>Feeder link switch [RAN2,RAN1]</w:t>
      </w:r>
    </w:p>
    <w:p w14:paraId="5C021B71" w14:textId="77777777" w:rsidR="00D94F4C" w:rsidRPr="001D75BE" w:rsidRDefault="00D94F4C" w:rsidP="00847FA1">
      <w:pPr>
        <w:widowControl/>
        <w:numPr>
          <w:ilvl w:val="0"/>
          <w:numId w:val="38"/>
        </w:numPr>
        <w:wordWrap/>
        <w:overflowPunct w:val="0"/>
        <w:adjustRightInd w:val="0"/>
        <w:spacing w:before="100" w:beforeAutospacing="1" w:after="100" w:afterAutospacing="1"/>
        <w:textAlignment w:val="baseline"/>
        <w:rPr>
          <w:sz w:val="22"/>
          <w:szCs w:val="22"/>
        </w:rPr>
      </w:pPr>
      <w:r w:rsidRPr="001D75BE">
        <w:rPr>
          <w:sz w:val="22"/>
          <w:szCs w:val="22"/>
        </w:rPr>
        <w:t>Beam management and Bandwidth Parts (BWP) operation for NTN with frequency reuse [RAN1/2]</w:t>
      </w:r>
    </w:p>
    <w:p w14:paraId="57E3B88F" w14:textId="77777777" w:rsidR="00D94F4C" w:rsidRPr="001D75BE" w:rsidRDefault="00D94F4C" w:rsidP="00847FA1">
      <w:pPr>
        <w:widowControl/>
        <w:numPr>
          <w:ilvl w:val="1"/>
          <w:numId w:val="38"/>
        </w:numPr>
        <w:wordWrap/>
        <w:overflowPunct w:val="0"/>
        <w:adjustRightInd w:val="0"/>
        <w:textAlignment w:val="baseline"/>
        <w:rPr>
          <w:rFonts w:eastAsia="PMingLiU"/>
          <w:sz w:val="22"/>
          <w:szCs w:val="22"/>
          <w:lang w:eastAsia="zh-TW"/>
        </w:rPr>
      </w:pPr>
      <w:r w:rsidRPr="001D75BE">
        <w:rPr>
          <w:rFonts w:eastAsia="PMingLiU"/>
          <w:sz w:val="22"/>
          <w:szCs w:val="22"/>
          <w:lang w:eastAsia="zh-TW"/>
        </w:rPr>
        <w:t>Including signalling of polarization mode</w:t>
      </w:r>
    </w:p>
    <w:p w14:paraId="562C1F1D" w14:textId="77777777" w:rsidR="00BA5E1B" w:rsidRPr="001D75BE" w:rsidRDefault="00BA5E1B" w:rsidP="00847FA1">
      <w:pPr>
        <w:wordWrap/>
        <w:spacing w:before="240" w:after="60" w:line="288" w:lineRule="auto"/>
        <w:ind w:firstLine="284"/>
        <w:jc w:val="both"/>
        <w:rPr>
          <w:rFonts w:eastAsia="Batang"/>
          <w:color w:val="000000"/>
          <w:sz w:val="22"/>
          <w:szCs w:val="22"/>
        </w:rPr>
      </w:pPr>
      <w:r w:rsidRPr="001D75BE">
        <w:rPr>
          <w:rFonts w:eastAsia="Malgun Gothic"/>
          <w:color w:val="000000"/>
          <w:sz w:val="22"/>
          <w:szCs w:val="22"/>
        </w:rPr>
        <w:t xml:space="preserve">In this contribution, we discuss the </w:t>
      </w:r>
      <w:r w:rsidR="00D94F4C" w:rsidRPr="001D75BE">
        <w:rPr>
          <w:rFonts w:eastAsia="Malgun Gothic"/>
          <w:color w:val="000000"/>
          <w:sz w:val="22"/>
          <w:szCs w:val="22"/>
        </w:rPr>
        <w:t>enhancements on UL time and frequency synchronization for NTN</w:t>
      </w:r>
      <w:r w:rsidRPr="001D75BE">
        <w:rPr>
          <w:rFonts w:eastAsia="Malgun Gothic"/>
          <w:color w:val="000000"/>
          <w:sz w:val="22"/>
          <w:szCs w:val="22"/>
        </w:rPr>
        <w:t>.</w:t>
      </w:r>
    </w:p>
    <w:p w14:paraId="75B27B37" w14:textId="77777777" w:rsidR="00545384" w:rsidRDefault="00D94F4C" w:rsidP="00847FA1">
      <w:pPr>
        <w:pStyle w:val="Heading1"/>
      </w:pPr>
      <w:r w:rsidRPr="00D94F4C">
        <w:lastRenderedPageBreak/>
        <w:t>Enhancements on UL time and frequency</w:t>
      </w:r>
      <w:r>
        <w:t xml:space="preserve"> </w:t>
      </w:r>
      <w:r w:rsidRPr="00D94F4C">
        <w:t>synchronization</w:t>
      </w:r>
    </w:p>
    <w:p w14:paraId="5B2DEB75" w14:textId="77777777" w:rsidR="00545384" w:rsidRPr="00723894" w:rsidRDefault="00545384" w:rsidP="00847FA1">
      <w:pPr>
        <w:pStyle w:val="ListParagraph"/>
        <w:keepNext/>
        <w:keepLines/>
        <w:numPr>
          <w:ilvl w:val="0"/>
          <w:numId w:val="10"/>
        </w:numPr>
        <w:spacing w:before="120"/>
        <w:contextualSpacing w:val="0"/>
        <w:outlineLvl w:val="2"/>
        <w:rPr>
          <w:rFonts w:ascii="Arial" w:hAnsi="Arial"/>
          <w:vanish/>
          <w:sz w:val="28"/>
          <w:lang w:val="en-GB"/>
        </w:rPr>
      </w:pPr>
    </w:p>
    <w:p w14:paraId="0BAED8B9" w14:textId="77777777" w:rsidR="00545384" w:rsidRPr="00723894" w:rsidRDefault="00545384" w:rsidP="00847FA1">
      <w:pPr>
        <w:pStyle w:val="ListParagraph"/>
        <w:keepNext/>
        <w:keepLines/>
        <w:numPr>
          <w:ilvl w:val="0"/>
          <w:numId w:val="10"/>
        </w:numPr>
        <w:spacing w:before="120"/>
        <w:contextualSpacing w:val="0"/>
        <w:outlineLvl w:val="2"/>
        <w:rPr>
          <w:rFonts w:ascii="Arial" w:hAnsi="Arial"/>
          <w:vanish/>
          <w:sz w:val="28"/>
          <w:lang w:val="en-GB"/>
        </w:rPr>
      </w:pPr>
    </w:p>
    <w:p w14:paraId="4DBCF64A" w14:textId="77777777" w:rsidR="00545384" w:rsidRPr="00723894" w:rsidRDefault="00545384" w:rsidP="00847FA1">
      <w:pPr>
        <w:pStyle w:val="ListParagraph"/>
        <w:keepNext/>
        <w:keepLines/>
        <w:numPr>
          <w:ilvl w:val="1"/>
          <w:numId w:val="10"/>
        </w:numPr>
        <w:spacing w:before="120"/>
        <w:contextualSpacing w:val="0"/>
        <w:outlineLvl w:val="2"/>
        <w:rPr>
          <w:rFonts w:ascii="Arial" w:hAnsi="Arial"/>
          <w:vanish/>
          <w:sz w:val="28"/>
          <w:lang w:val="en-GB"/>
        </w:rPr>
      </w:pPr>
    </w:p>
    <w:p w14:paraId="654160DA" w14:textId="77777777" w:rsidR="00545384" w:rsidRPr="00723894" w:rsidRDefault="00545384" w:rsidP="00847FA1">
      <w:pPr>
        <w:pStyle w:val="ListParagraph"/>
        <w:keepNext/>
        <w:keepLines/>
        <w:numPr>
          <w:ilvl w:val="1"/>
          <w:numId w:val="10"/>
        </w:numPr>
        <w:spacing w:before="120"/>
        <w:contextualSpacing w:val="0"/>
        <w:outlineLvl w:val="2"/>
        <w:rPr>
          <w:rFonts w:ascii="Arial" w:hAnsi="Arial"/>
          <w:vanish/>
          <w:sz w:val="28"/>
          <w:lang w:val="en-GB"/>
        </w:rPr>
      </w:pPr>
    </w:p>
    <w:p w14:paraId="31BE8F97" w14:textId="77777777" w:rsidR="00DE4290" w:rsidRDefault="00DE4290" w:rsidP="00847FA1">
      <w:pPr>
        <w:pStyle w:val="ListParagraph"/>
        <w:keepNext/>
        <w:spacing w:before="60" w:after="60" w:line="288" w:lineRule="auto"/>
        <w:ind w:left="432"/>
        <w:jc w:val="center"/>
      </w:pPr>
      <w:r w:rsidRPr="009F6E66">
        <w:rPr>
          <w:rFonts w:hint="eastAsia"/>
          <w:noProof/>
          <w:lang w:val="en-GB" w:eastAsia="zh-CN"/>
        </w:rPr>
        <w:drawing>
          <wp:inline distT="0" distB="0" distL="0" distR="0" wp14:anchorId="26C8E056" wp14:editId="0352F85F">
            <wp:extent cx="5200153" cy="2424871"/>
            <wp:effectExtent l="0" t="0" r="63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04295" cy="2426802"/>
                    </a:xfrm>
                    <a:prstGeom prst="rect">
                      <a:avLst/>
                    </a:prstGeom>
                    <a:noFill/>
                    <a:ln>
                      <a:noFill/>
                    </a:ln>
                  </pic:spPr>
                </pic:pic>
              </a:graphicData>
            </a:graphic>
          </wp:inline>
        </w:drawing>
      </w:r>
    </w:p>
    <w:p w14:paraId="769755F0" w14:textId="22791BE7" w:rsidR="00DE4290" w:rsidRDefault="00DE4290" w:rsidP="00847FA1">
      <w:pPr>
        <w:pStyle w:val="Caption"/>
        <w:wordWrap/>
        <w:ind w:left="432"/>
        <w:jc w:val="center"/>
        <w:rPr>
          <w:rFonts w:eastAsia="Malgun Gothic"/>
          <w:sz w:val="22"/>
          <w:szCs w:val="22"/>
        </w:rPr>
      </w:pPr>
      <w:r>
        <w:t xml:space="preserve">Figure </w:t>
      </w:r>
      <w:r w:rsidR="00927CFE">
        <w:rPr>
          <w:noProof/>
        </w:rPr>
        <w:fldChar w:fldCharType="begin"/>
      </w:r>
      <w:r w:rsidR="00927CFE">
        <w:rPr>
          <w:noProof/>
        </w:rPr>
        <w:instrText xml:space="preserve"> SEQ Figure \* ARABIC </w:instrText>
      </w:r>
      <w:r w:rsidR="00927CFE">
        <w:rPr>
          <w:noProof/>
        </w:rPr>
        <w:fldChar w:fldCharType="separate"/>
      </w:r>
      <w:r w:rsidR="00847FA1">
        <w:rPr>
          <w:noProof/>
        </w:rPr>
        <w:t>1</w:t>
      </w:r>
      <w:r w:rsidR="00927CFE">
        <w:rPr>
          <w:noProof/>
        </w:rPr>
        <w:fldChar w:fldCharType="end"/>
      </w:r>
      <w:r>
        <w:t xml:space="preserve">. </w:t>
      </w:r>
      <w:r w:rsidRPr="009F6E66">
        <w:t>(a) Latency from terminal to satellite and (b) maximum difference of the latency within 50 km-radius cell, according to elevation angles for altitudes of 780, 1200, 2000 km.</w:t>
      </w:r>
    </w:p>
    <w:p w14:paraId="22A738FC" w14:textId="77777777" w:rsidR="00DE4290" w:rsidRPr="00DE4290" w:rsidRDefault="00DE4290" w:rsidP="00847FA1">
      <w:pPr>
        <w:wordWrap/>
        <w:spacing w:before="60" w:after="60" w:line="288" w:lineRule="auto"/>
        <w:jc w:val="both"/>
        <w:rPr>
          <w:rFonts w:eastAsia="Malgun Gothic"/>
          <w:sz w:val="22"/>
          <w:szCs w:val="22"/>
          <w:lang w:val="en-GB"/>
        </w:rPr>
      </w:pPr>
    </w:p>
    <w:p w14:paraId="6167E66C" w14:textId="03565929" w:rsidR="009F6E66" w:rsidRPr="009F6E66" w:rsidRDefault="009F6E66" w:rsidP="00847FA1">
      <w:pPr>
        <w:wordWrap/>
        <w:spacing w:before="60" w:after="60" w:line="288" w:lineRule="auto"/>
        <w:ind w:firstLine="284"/>
        <w:jc w:val="both"/>
        <w:rPr>
          <w:rFonts w:eastAsia="Malgun Gothic"/>
          <w:sz w:val="22"/>
          <w:szCs w:val="22"/>
        </w:rPr>
      </w:pPr>
      <w:r>
        <w:rPr>
          <w:rFonts w:eastAsia="Malgun Gothic"/>
          <w:sz w:val="22"/>
          <w:szCs w:val="22"/>
        </w:rPr>
        <w:t xml:space="preserve">Due to very long distance from the UE on the ground to a satellite, very large delay should occur. </w:t>
      </w:r>
      <w:r w:rsidRPr="009F6E66">
        <w:rPr>
          <w:rFonts w:eastAsia="Malgun Gothic"/>
          <w:sz w:val="22"/>
          <w:szCs w:val="22"/>
        </w:rPr>
        <w:t>Fig.</w:t>
      </w:r>
      <w:r>
        <w:rPr>
          <w:rFonts w:eastAsia="Malgun Gothic"/>
          <w:sz w:val="22"/>
          <w:szCs w:val="22"/>
        </w:rPr>
        <w:t>xx-(</w:t>
      </w:r>
      <w:r w:rsidRPr="009F6E66">
        <w:rPr>
          <w:rFonts w:eastAsia="Malgun Gothic"/>
          <w:sz w:val="22"/>
          <w:szCs w:val="22"/>
        </w:rPr>
        <w:t>a) shows the latency from a terminal and a satellite for different altitudes and elevation angles. If the number of ground stations de</w:t>
      </w:r>
      <w:r>
        <w:rPr>
          <w:rFonts w:eastAsia="Malgun Gothic"/>
          <w:sz w:val="22"/>
          <w:szCs w:val="22"/>
        </w:rPr>
        <w:t>p</w:t>
      </w:r>
      <w:r w:rsidRPr="009F6E66">
        <w:rPr>
          <w:rFonts w:eastAsia="Malgun Gothic"/>
          <w:sz w:val="22"/>
          <w:szCs w:val="22"/>
        </w:rPr>
        <w:t>loyed is large enough, e.g., there is at least one ground station within the coverage of a satellite, the worst-case one-way latency from a terminal to a ground station should be under 40 ms consisting of double of the maximum latency depicted in Fig.</w:t>
      </w:r>
      <w:r w:rsidR="00DA5013">
        <w:rPr>
          <w:rFonts w:eastAsia="Malgun Gothic"/>
          <w:sz w:val="22"/>
          <w:szCs w:val="22"/>
        </w:rPr>
        <w:t xml:space="preserve"> xx-</w:t>
      </w:r>
      <w:r w:rsidRPr="009F6E66">
        <w:rPr>
          <w:rFonts w:eastAsia="Malgun Gothic"/>
          <w:sz w:val="22"/>
          <w:szCs w:val="22"/>
        </w:rPr>
        <w:t>(a) showing the latency from a terminal to a satellite.</w:t>
      </w:r>
      <w:r w:rsidR="0005105C">
        <w:rPr>
          <w:rFonts w:eastAsia="Malgun Gothic"/>
          <w:sz w:val="22"/>
          <w:szCs w:val="22"/>
        </w:rPr>
        <w:t xml:space="preserve"> </w:t>
      </w:r>
      <w:r w:rsidRPr="009F6E66">
        <w:rPr>
          <w:rFonts w:eastAsia="Malgun Gothic"/>
          <w:sz w:val="22"/>
          <w:szCs w:val="22"/>
        </w:rPr>
        <w:t xml:space="preserve">Considering the maximum required latency of voice and video calls are 100 ms and 150 ms, respectively, a one-way latency of 40 ms meets the QoS requirements for applications such as voice calls and video streaming. However, it presents a challenge in one area of NR air interface, especially, random access procedure, which is the first step for a terminal to access the network. Once a terminal transmits a preamble to initiate random access procedure, it needs to receive a response back within a time window. For NR, it can be over 100 ms by proper configuration of control resource for random access and utilization of 2-step RACH procedure. </w:t>
      </w:r>
    </w:p>
    <w:p w14:paraId="358A1975" w14:textId="4BDFBD88" w:rsidR="009F6E66" w:rsidRPr="009F6E66" w:rsidRDefault="009F6E66" w:rsidP="00847FA1">
      <w:pPr>
        <w:wordWrap/>
        <w:spacing w:before="60" w:after="60" w:line="288" w:lineRule="auto"/>
        <w:ind w:firstLine="284"/>
        <w:jc w:val="both"/>
        <w:rPr>
          <w:rFonts w:eastAsia="Malgun Gothic"/>
          <w:sz w:val="22"/>
          <w:szCs w:val="22"/>
        </w:rPr>
      </w:pPr>
      <w:r w:rsidRPr="009F6E66">
        <w:rPr>
          <w:rFonts w:eastAsia="Malgun Gothic"/>
          <w:sz w:val="22"/>
          <w:szCs w:val="22"/>
        </w:rPr>
        <w:t>After random access procedure, the latency should be handled either by using network scheduling or by using timing advance (TA) in order to synchronize the UL timing from the terminals within a cell.</w:t>
      </w:r>
      <w:r w:rsidR="00041E02">
        <w:rPr>
          <w:rFonts w:eastAsia="Malgun Gothic"/>
          <w:sz w:val="22"/>
          <w:szCs w:val="22"/>
        </w:rPr>
        <w:t xml:space="preserve"> </w:t>
      </w:r>
      <w:r w:rsidRPr="009F6E66">
        <w:rPr>
          <w:rFonts w:eastAsia="Malgun Gothic"/>
          <w:sz w:val="22"/>
          <w:szCs w:val="22"/>
        </w:rPr>
        <w:t>If the network indicates or compensates the propagation delay between the satellite and the reference terminal location of the cell, the residual latency comes from the different locations amo</w:t>
      </w:r>
      <w:r w:rsidR="00041E02">
        <w:rPr>
          <w:rFonts w:eastAsia="Malgun Gothic"/>
          <w:sz w:val="22"/>
          <w:szCs w:val="22"/>
        </w:rPr>
        <w:t>ng the terminals within a cell.</w:t>
      </w:r>
      <w:r w:rsidR="00292712">
        <w:rPr>
          <w:rFonts w:eastAsia="Malgun Gothic"/>
          <w:sz w:val="22"/>
          <w:szCs w:val="22"/>
        </w:rPr>
        <w:t xml:space="preserve"> </w:t>
      </w:r>
      <w:r w:rsidRPr="009F6E66">
        <w:rPr>
          <w:rFonts w:eastAsia="Malgun Gothic"/>
          <w:sz w:val="22"/>
          <w:szCs w:val="22"/>
        </w:rPr>
        <w:t>Fig.</w:t>
      </w:r>
      <w:r w:rsidR="00041E02">
        <w:rPr>
          <w:rFonts w:eastAsia="Malgun Gothic"/>
          <w:sz w:val="22"/>
          <w:szCs w:val="22"/>
        </w:rPr>
        <w:t xml:space="preserve"> xx </w:t>
      </w:r>
      <w:r w:rsidRPr="009F6E66">
        <w:rPr>
          <w:rFonts w:eastAsia="Malgun Gothic"/>
          <w:sz w:val="22"/>
          <w:szCs w:val="22"/>
        </w:rPr>
        <w:t>-(b) shows the maximum difference of the one-way latency within a cell of 50 km radius according to the elevation angle for different altitudes of satellites.</w:t>
      </w:r>
      <w:r w:rsidR="007D2F3B">
        <w:rPr>
          <w:rFonts w:eastAsia="Malgun Gothic"/>
          <w:sz w:val="22"/>
          <w:szCs w:val="22"/>
        </w:rPr>
        <w:t xml:space="preserve"> </w:t>
      </w:r>
      <w:r w:rsidRPr="009F6E66">
        <w:rPr>
          <w:rFonts w:eastAsia="Malgun Gothic"/>
          <w:sz w:val="22"/>
          <w:szCs w:val="22"/>
        </w:rPr>
        <w:t>It can be seen that the maximum differences of the one-way latency are</w:t>
      </w:r>
      <w:r w:rsidR="007D2F3B">
        <w:rPr>
          <w:rFonts w:eastAsia="Malgun Gothic"/>
          <w:sz w:val="22"/>
          <w:szCs w:val="22"/>
        </w:rPr>
        <w:t xml:space="preserve"> almost the same for different </w:t>
      </w:r>
      <w:r w:rsidRPr="009F6E66">
        <w:rPr>
          <w:rFonts w:eastAsia="Malgun Gothic"/>
          <w:sz w:val="22"/>
          <w:szCs w:val="22"/>
        </w:rPr>
        <w:t xml:space="preserve">altitudes of satellites except at the elevation angle of about </w:t>
      </w:r>
      <w:r w:rsidR="007D2F3B">
        <w:rPr>
          <w:rFonts w:eastAsia="Malgun Gothic"/>
          <w:sz w:val="22"/>
          <w:szCs w:val="22"/>
        </w:rPr>
        <w:t>90</w:t>
      </w:r>
      <w:r w:rsidR="007D2F3B">
        <w:rPr>
          <w:rFonts w:ascii="Malgun Gothic" w:eastAsia="Malgun Gothic" w:hAnsi="Malgun Gothic" w:hint="eastAsia"/>
          <w:sz w:val="22"/>
          <w:szCs w:val="22"/>
        </w:rPr>
        <w:t>°</w:t>
      </w:r>
      <w:r w:rsidR="007D2F3B">
        <w:rPr>
          <w:rFonts w:eastAsia="Malgun Gothic" w:hint="eastAsia"/>
          <w:sz w:val="22"/>
          <w:szCs w:val="22"/>
        </w:rPr>
        <w:t xml:space="preserve">. </w:t>
      </w:r>
      <w:r w:rsidRPr="009F6E66">
        <w:rPr>
          <w:rFonts w:eastAsia="Malgun Gothic"/>
          <w:sz w:val="22"/>
          <w:szCs w:val="22"/>
        </w:rPr>
        <w:t>Since the TA mechanism for UL synchronization in 5G NR covers up to 2 ms, the difference of the latency within a cell of 50 km radius among the terminals could be accommodated by reusing 5G NR for the satellite link.</w:t>
      </w:r>
    </w:p>
    <w:p w14:paraId="75B16BDF" w14:textId="4323CE51" w:rsidR="009F6E66" w:rsidRDefault="00DE4290" w:rsidP="00847FA1">
      <w:pPr>
        <w:wordWrap/>
        <w:spacing w:before="60" w:after="60" w:line="288" w:lineRule="auto"/>
        <w:ind w:firstLine="284"/>
        <w:jc w:val="both"/>
        <w:rPr>
          <w:rFonts w:eastAsia="Malgun Gothic"/>
          <w:sz w:val="22"/>
          <w:szCs w:val="22"/>
        </w:rPr>
      </w:pPr>
      <w:r>
        <w:rPr>
          <w:rFonts w:eastAsia="Malgun Gothic" w:hint="eastAsia"/>
          <w:sz w:val="22"/>
          <w:szCs w:val="22"/>
        </w:rPr>
        <w:t xml:space="preserve">There could be two different approaches for pre-compensation of the delay in order to make UL synchronization among different UEs </w:t>
      </w:r>
      <w:r>
        <w:rPr>
          <w:rFonts w:eastAsia="Malgun Gothic"/>
          <w:sz w:val="22"/>
          <w:szCs w:val="22"/>
        </w:rPr>
        <w:t>as below.</w:t>
      </w:r>
    </w:p>
    <w:p w14:paraId="4FAED942" w14:textId="227B21C1" w:rsidR="00DE4290" w:rsidRDefault="00DE4290" w:rsidP="00847FA1">
      <w:pPr>
        <w:pStyle w:val="ListParagraph"/>
        <w:numPr>
          <w:ilvl w:val="0"/>
          <w:numId w:val="40"/>
        </w:numPr>
        <w:spacing w:before="60" w:after="60" w:line="288" w:lineRule="auto"/>
        <w:jc w:val="both"/>
        <w:rPr>
          <w:rFonts w:eastAsia="Malgun Gothic"/>
          <w:sz w:val="22"/>
          <w:szCs w:val="22"/>
        </w:rPr>
      </w:pPr>
      <w:r>
        <w:rPr>
          <w:rFonts w:eastAsia="Malgun Gothic" w:hint="eastAsia"/>
          <w:sz w:val="22"/>
          <w:szCs w:val="22"/>
          <w:lang w:eastAsia="ko-KR"/>
        </w:rPr>
        <w:t xml:space="preserve">Approach 1. </w:t>
      </w:r>
      <w:r>
        <w:rPr>
          <w:rFonts w:eastAsia="Malgun Gothic"/>
          <w:sz w:val="22"/>
          <w:szCs w:val="22"/>
          <w:lang w:eastAsia="ko-KR"/>
        </w:rPr>
        <w:t>A UE pre-compensates the TA based on the location information of the satellite and itself.</w:t>
      </w:r>
    </w:p>
    <w:p w14:paraId="68CABA42" w14:textId="545A2761" w:rsidR="00DE4290" w:rsidRDefault="00DE4290" w:rsidP="00847FA1">
      <w:pPr>
        <w:pStyle w:val="ListParagraph"/>
        <w:numPr>
          <w:ilvl w:val="0"/>
          <w:numId w:val="40"/>
        </w:numPr>
        <w:spacing w:before="60" w:after="60" w:line="288" w:lineRule="auto"/>
        <w:jc w:val="both"/>
        <w:rPr>
          <w:rFonts w:eastAsia="Malgun Gothic"/>
          <w:sz w:val="22"/>
          <w:szCs w:val="22"/>
        </w:rPr>
      </w:pPr>
      <w:r>
        <w:rPr>
          <w:rFonts w:eastAsia="Malgun Gothic"/>
          <w:sz w:val="22"/>
          <w:szCs w:val="22"/>
          <w:lang w:eastAsia="ko-KR"/>
        </w:rPr>
        <w:lastRenderedPageBreak/>
        <w:t xml:space="preserve">Approach 2. A gNB indicates the total TA to the UE. </w:t>
      </w:r>
    </w:p>
    <w:p w14:paraId="21A59E7D" w14:textId="7AA0091D" w:rsidR="00F03C84" w:rsidRDefault="00F03C84" w:rsidP="00847FA1">
      <w:pPr>
        <w:wordWrap/>
        <w:spacing w:before="60" w:after="60" w:line="288" w:lineRule="auto"/>
        <w:ind w:firstLine="284"/>
        <w:jc w:val="both"/>
        <w:rPr>
          <w:rFonts w:eastAsia="Malgun Gothic"/>
          <w:sz w:val="22"/>
          <w:szCs w:val="22"/>
        </w:rPr>
      </w:pPr>
      <w:r>
        <w:rPr>
          <w:rFonts w:eastAsia="Malgun Gothic" w:hint="eastAsia"/>
          <w:sz w:val="22"/>
          <w:szCs w:val="22"/>
        </w:rPr>
        <w:t xml:space="preserve">Under the assumption that the UE has GNSS-capable and it can be aware of its location using GNSS, Approach 1 seems feasible. </w:t>
      </w:r>
      <w:r>
        <w:rPr>
          <w:rFonts w:eastAsia="Malgun Gothic"/>
          <w:sz w:val="22"/>
          <w:szCs w:val="22"/>
        </w:rPr>
        <w:t>For Approach 1, the processing time might need to be considered for calculation of its location.</w:t>
      </w:r>
    </w:p>
    <w:p w14:paraId="688AA561" w14:textId="5D2713B1" w:rsidR="00F03C84" w:rsidRPr="00726DD4" w:rsidRDefault="00D9402A" w:rsidP="00847FA1">
      <w:pPr>
        <w:wordWrap/>
        <w:spacing w:before="60" w:after="60" w:line="288" w:lineRule="auto"/>
        <w:ind w:firstLine="284"/>
        <w:jc w:val="both"/>
      </w:pPr>
      <w:r>
        <w:rPr>
          <w:rFonts w:eastAsia="Malgun Gothic"/>
          <w:sz w:val="22"/>
          <w:szCs w:val="22"/>
        </w:rPr>
        <w:t>In Appr</w:t>
      </w:r>
      <w:r w:rsidR="00726DD4">
        <w:rPr>
          <w:rFonts w:eastAsia="Malgun Gothic"/>
          <w:sz w:val="22"/>
          <w:szCs w:val="22"/>
        </w:rPr>
        <w:t>oach 2, as studied in SI phase of NTN, the total TA could be divided into common TA and differential TA values. And the common TA is indicated to all UEs within the same beam while the diffe</w:t>
      </w:r>
      <w:r w:rsidR="00965EDA">
        <w:rPr>
          <w:rFonts w:eastAsia="Malgun Gothic"/>
          <w:sz w:val="22"/>
          <w:szCs w:val="22"/>
        </w:rPr>
        <w:t>rential TA is indicated as UE-s</w:t>
      </w:r>
      <w:r w:rsidR="00726DD4">
        <w:rPr>
          <w:rFonts w:eastAsia="Malgun Gothic"/>
          <w:sz w:val="22"/>
          <w:szCs w:val="22"/>
        </w:rPr>
        <w:t>pecific</w:t>
      </w:r>
      <w:r w:rsidR="00965EDA">
        <w:rPr>
          <w:rFonts w:eastAsia="Malgun Gothic"/>
          <w:sz w:val="22"/>
          <w:szCs w:val="22"/>
        </w:rPr>
        <w:t xml:space="preserve"> </w:t>
      </w:r>
      <w:r w:rsidR="00573F55">
        <w:rPr>
          <w:rFonts w:eastAsia="Malgun Gothic"/>
          <w:sz w:val="22"/>
          <w:szCs w:val="22"/>
        </w:rPr>
        <w:t>signaling</w:t>
      </w:r>
      <w:r w:rsidR="00726DD4">
        <w:rPr>
          <w:rFonts w:eastAsia="Malgun Gothic"/>
          <w:sz w:val="22"/>
          <w:szCs w:val="22"/>
        </w:rPr>
        <w:t>.</w:t>
      </w:r>
    </w:p>
    <w:p w14:paraId="11B5EA7B" w14:textId="111DC42A" w:rsidR="00791517" w:rsidRDefault="00791517" w:rsidP="00847FA1">
      <w:pPr>
        <w:wordWrap/>
        <w:spacing w:before="60" w:after="60" w:line="288" w:lineRule="auto"/>
        <w:jc w:val="both"/>
        <w:rPr>
          <w:rFonts w:eastAsia="Malgun Gothic"/>
          <w:sz w:val="22"/>
          <w:szCs w:val="22"/>
        </w:rPr>
      </w:pPr>
      <w:r w:rsidRPr="004845EB">
        <w:rPr>
          <w:rFonts w:hint="eastAsia"/>
          <w:b/>
          <w:i/>
          <w:sz w:val="22"/>
          <w:szCs w:val="22"/>
        </w:rPr>
        <w:t>Observation 1</w:t>
      </w:r>
      <w:r w:rsidR="004845EB">
        <w:rPr>
          <w:b/>
          <w:i/>
          <w:sz w:val="22"/>
          <w:szCs w:val="22"/>
        </w:rPr>
        <w:t>:</w:t>
      </w:r>
      <w:r>
        <w:rPr>
          <w:rFonts w:eastAsia="Malgun Gothic" w:hint="eastAsia"/>
          <w:sz w:val="22"/>
          <w:szCs w:val="22"/>
        </w:rPr>
        <w:t xml:space="preserve"> Two approaches for TA compensation</w:t>
      </w:r>
      <w:r w:rsidR="00EA4428">
        <w:rPr>
          <w:rFonts w:eastAsia="Malgun Gothic"/>
          <w:sz w:val="22"/>
          <w:szCs w:val="22"/>
        </w:rPr>
        <w:t>, i.e., autonomous compensation at the UE and gNB indication,</w:t>
      </w:r>
      <w:r>
        <w:rPr>
          <w:rFonts w:eastAsia="Malgun Gothic" w:hint="eastAsia"/>
          <w:sz w:val="22"/>
          <w:szCs w:val="22"/>
        </w:rPr>
        <w:t xml:space="preserve"> are feasible. </w:t>
      </w:r>
    </w:p>
    <w:p w14:paraId="7642F7BF" w14:textId="77777777" w:rsidR="00F03C84" w:rsidRPr="00F03C84" w:rsidRDefault="00F03C84" w:rsidP="00847FA1">
      <w:pPr>
        <w:wordWrap/>
        <w:spacing w:before="60" w:after="60" w:line="288" w:lineRule="auto"/>
        <w:jc w:val="both"/>
        <w:rPr>
          <w:rFonts w:eastAsia="Malgun Gothic"/>
          <w:sz w:val="22"/>
          <w:szCs w:val="22"/>
        </w:rPr>
      </w:pPr>
    </w:p>
    <w:p w14:paraId="10B28ECB" w14:textId="77777777" w:rsidR="00847FA1" w:rsidRDefault="009F6E66" w:rsidP="00847FA1">
      <w:pPr>
        <w:keepNext/>
        <w:wordWrap/>
        <w:spacing w:before="60" w:after="60" w:line="288" w:lineRule="auto"/>
        <w:ind w:firstLine="284"/>
        <w:jc w:val="center"/>
      </w:pPr>
      <w:r w:rsidRPr="009F6E66">
        <w:rPr>
          <w:rFonts w:eastAsia="Malgun Gothic" w:hint="eastAsia"/>
          <w:noProof/>
          <w:sz w:val="22"/>
          <w:szCs w:val="22"/>
          <w:lang w:val="en-GB" w:eastAsia="zh-CN"/>
        </w:rPr>
        <w:drawing>
          <wp:inline distT="0" distB="0" distL="0" distR="0" wp14:anchorId="61F70CE8" wp14:editId="2874A44B">
            <wp:extent cx="5088835" cy="2360263"/>
            <wp:effectExtent l="0" t="0" r="0" b="254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95408" cy="2363312"/>
                    </a:xfrm>
                    <a:prstGeom prst="rect">
                      <a:avLst/>
                    </a:prstGeom>
                    <a:noFill/>
                    <a:ln>
                      <a:noFill/>
                    </a:ln>
                  </pic:spPr>
                </pic:pic>
              </a:graphicData>
            </a:graphic>
          </wp:inline>
        </w:drawing>
      </w:r>
    </w:p>
    <w:p w14:paraId="445D25CA" w14:textId="01EC4F77" w:rsidR="009F6E66" w:rsidRDefault="00847FA1" w:rsidP="00847FA1">
      <w:pPr>
        <w:pStyle w:val="Caption"/>
        <w:wordWrap/>
        <w:jc w:val="center"/>
        <w:rPr>
          <w:rFonts w:eastAsia="Malgun Gothic"/>
          <w:sz w:val="22"/>
          <w:szCs w:val="22"/>
        </w:rPr>
      </w:pPr>
      <w:r>
        <w:t xml:space="preserve">Figure </w:t>
      </w:r>
      <w:r w:rsidR="00652160">
        <w:rPr>
          <w:noProof/>
        </w:rPr>
        <w:fldChar w:fldCharType="begin"/>
      </w:r>
      <w:r w:rsidR="00652160">
        <w:rPr>
          <w:noProof/>
        </w:rPr>
        <w:instrText xml:space="preserve"> SEQ Figure \* ARABIC </w:instrText>
      </w:r>
      <w:r w:rsidR="00652160">
        <w:rPr>
          <w:noProof/>
        </w:rPr>
        <w:fldChar w:fldCharType="separate"/>
      </w:r>
      <w:r>
        <w:rPr>
          <w:noProof/>
        </w:rPr>
        <w:t>2</w:t>
      </w:r>
      <w:r w:rsidR="00652160">
        <w:rPr>
          <w:noProof/>
        </w:rPr>
        <w:fldChar w:fldCharType="end"/>
      </w:r>
      <w:r>
        <w:t xml:space="preserve">. (a) Doppler shift and (b) maximum difference of the </w:t>
      </w:r>
      <w:r w:rsidR="00502BEE">
        <w:t>D</w:t>
      </w:r>
      <w:r>
        <w:t>oppler shift within 50 km-radius cell, according to elevation angles for altitudes of 780, 1200, 2000 km, for the center frequency 1.6 GHz</w:t>
      </w:r>
    </w:p>
    <w:p w14:paraId="24D03BF6" w14:textId="7C4F6BCB" w:rsidR="00942FF5" w:rsidRDefault="00847FA1" w:rsidP="00847FA1">
      <w:pPr>
        <w:wordWrap/>
        <w:spacing w:before="60" w:after="60" w:line="288" w:lineRule="auto"/>
        <w:ind w:firstLineChars="100" w:firstLine="220"/>
        <w:jc w:val="both"/>
        <w:rPr>
          <w:rFonts w:eastAsia="Malgun Gothic"/>
          <w:sz w:val="22"/>
          <w:szCs w:val="22"/>
        </w:rPr>
      </w:pPr>
      <w:r w:rsidRPr="00847FA1">
        <w:rPr>
          <w:rFonts w:eastAsia="Malgun Gothic"/>
          <w:sz w:val="22"/>
          <w:szCs w:val="22"/>
        </w:rPr>
        <w:t>In order to maintain the orbit, LEO satellite should have the orbital velocity around 7</w:t>
      </w:r>
      <w:r>
        <w:rPr>
          <w:rFonts w:eastAsia="Malgun Gothic"/>
          <w:sz w:val="22"/>
          <w:szCs w:val="22"/>
        </w:rPr>
        <w:t>~8</w:t>
      </w:r>
      <w:r w:rsidRPr="00847FA1">
        <w:rPr>
          <w:rFonts w:eastAsia="Malgun Gothic"/>
          <w:sz w:val="22"/>
          <w:szCs w:val="22"/>
        </w:rPr>
        <w:t xml:space="preserve"> km/s. Due to the extremely high speed of an LEO satellite, the satellite link is subject to severe Doppler shifts. The value of Doppler shift depends on not only the locations of a satellite and a terminal, but also the trajectory of the satellite. With the assumption that the terminal is beneath the satellite trajectory and the effect of the rotation of the earth is ignored, the Doppler shift from the terminal side is shown in Fig.</w:t>
      </w:r>
      <w:r>
        <w:rPr>
          <w:rFonts w:eastAsia="Malgun Gothic"/>
          <w:sz w:val="22"/>
          <w:szCs w:val="22"/>
        </w:rPr>
        <w:t xml:space="preserve"> 2-(a).</w:t>
      </w:r>
    </w:p>
    <w:p w14:paraId="6402C3E5" w14:textId="18525E0C" w:rsidR="00F55FAA" w:rsidRDefault="00F55FAA" w:rsidP="00F55FAA">
      <w:pPr>
        <w:wordWrap/>
        <w:spacing w:before="60" w:after="60" w:line="288" w:lineRule="auto"/>
        <w:ind w:firstLine="220"/>
        <w:jc w:val="both"/>
        <w:rPr>
          <w:rFonts w:eastAsia="Malgun Gothic"/>
          <w:sz w:val="22"/>
          <w:szCs w:val="22"/>
        </w:rPr>
      </w:pPr>
      <w:r w:rsidRPr="00F55FAA">
        <w:rPr>
          <w:rFonts w:eastAsia="Malgun Gothic"/>
          <w:sz w:val="22"/>
          <w:szCs w:val="22"/>
        </w:rPr>
        <w:t>Doppler shift on the UL needs a pre-compensation before it is transmitted by terminals.</w:t>
      </w:r>
      <w:r>
        <w:rPr>
          <w:rFonts w:eastAsia="Malgun Gothic"/>
          <w:sz w:val="22"/>
          <w:szCs w:val="22"/>
        </w:rPr>
        <w:t xml:space="preserve"> </w:t>
      </w:r>
      <w:r w:rsidRPr="00F55FAA">
        <w:rPr>
          <w:rFonts w:eastAsia="Malgun Gothic"/>
          <w:sz w:val="22"/>
          <w:szCs w:val="22"/>
        </w:rPr>
        <w:t>Differently from latency, even though the network indicates or compensates the Doppler shift between the satellite and the reference terminal location of the cell, the residual Doppler shift shown in Fig.</w:t>
      </w:r>
      <w:r>
        <w:rPr>
          <w:rFonts w:eastAsia="Malgun Gothic"/>
          <w:sz w:val="22"/>
          <w:szCs w:val="22"/>
        </w:rPr>
        <w:t xml:space="preserve"> 2</w:t>
      </w:r>
      <w:r w:rsidRPr="00F55FAA">
        <w:rPr>
          <w:rFonts w:eastAsia="Malgun Gothic"/>
          <w:sz w:val="22"/>
          <w:szCs w:val="22"/>
        </w:rPr>
        <w:t>-(b) cannot be accommodated just by reusing 5G NR.</w:t>
      </w:r>
    </w:p>
    <w:p w14:paraId="2AEEB918" w14:textId="6A641A9E" w:rsidR="00502BEE" w:rsidRDefault="00502BEE" w:rsidP="00F55FAA">
      <w:pPr>
        <w:wordWrap/>
        <w:spacing w:before="60" w:after="60" w:line="288" w:lineRule="auto"/>
        <w:ind w:firstLine="220"/>
        <w:jc w:val="both"/>
        <w:rPr>
          <w:rFonts w:eastAsia="Malgun Gothic"/>
          <w:sz w:val="22"/>
          <w:szCs w:val="22"/>
        </w:rPr>
      </w:pPr>
      <w:r>
        <w:rPr>
          <w:rFonts w:eastAsia="Malgun Gothic"/>
          <w:sz w:val="22"/>
          <w:szCs w:val="22"/>
        </w:rPr>
        <w:t>Similar to the delay, there could be two approaches for pre-compensation of UL Doppler shift at the UE side.</w:t>
      </w:r>
    </w:p>
    <w:p w14:paraId="551FCA11" w14:textId="04F617E9" w:rsidR="007211EC" w:rsidRPr="007211EC" w:rsidRDefault="007211EC" w:rsidP="00665C24">
      <w:pPr>
        <w:pStyle w:val="ListParagraph"/>
        <w:numPr>
          <w:ilvl w:val="0"/>
          <w:numId w:val="41"/>
        </w:numPr>
        <w:spacing w:before="60" w:after="60" w:line="288" w:lineRule="auto"/>
        <w:jc w:val="both"/>
        <w:rPr>
          <w:rFonts w:eastAsia="Malgun Gothic"/>
          <w:sz w:val="22"/>
          <w:szCs w:val="22"/>
        </w:rPr>
      </w:pPr>
      <w:r w:rsidRPr="007211EC">
        <w:rPr>
          <w:rFonts w:eastAsia="Malgun Gothic" w:hint="eastAsia"/>
          <w:sz w:val="22"/>
          <w:szCs w:val="22"/>
          <w:lang w:eastAsia="ko-KR"/>
        </w:rPr>
        <w:t>Appro</w:t>
      </w:r>
      <w:r w:rsidRPr="007211EC">
        <w:rPr>
          <w:rFonts w:eastAsia="Malgun Gothic"/>
          <w:sz w:val="22"/>
          <w:szCs w:val="22"/>
          <w:lang w:eastAsia="ko-KR"/>
        </w:rPr>
        <w:t>ach 1. A UE pre-compensates the Doppler shift based on the location information of the satellite and itself.</w:t>
      </w:r>
    </w:p>
    <w:p w14:paraId="1BFEBF32" w14:textId="5C3C2E25" w:rsidR="00F55FAA" w:rsidRPr="007211EC" w:rsidRDefault="007211EC" w:rsidP="007211EC">
      <w:pPr>
        <w:pStyle w:val="ListParagraph"/>
        <w:numPr>
          <w:ilvl w:val="0"/>
          <w:numId w:val="41"/>
        </w:numPr>
        <w:spacing w:before="60" w:after="60" w:line="288" w:lineRule="auto"/>
        <w:jc w:val="both"/>
        <w:rPr>
          <w:rFonts w:eastAsia="Malgun Gothic"/>
          <w:sz w:val="22"/>
          <w:szCs w:val="22"/>
        </w:rPr>
      </w:pPr>
      <w:r w:rsidRPr="007211EC">
        <w:rPr>
          <w:rFonts w:eastAsia="Malgun Gothic"/>
          <w:sz w:val="22"/>
          <w:szCs w:val="22"/>
        </w:rPr>
        <w:t xml:space="preserve">Approach 2. A gNB indicates the </w:t>
      </w:r>
      <w:r w:rsidRPr="007211EC">
        <w:rPr>
          <w:rFonts w:eastAsia="Malgun Gothic"/>
          <w:sz w:val="22"/>
          <w:szCs w:val="22"/>
          <w:lang w:eastAsia="ko-KR"/>
        </w:rPr>
        <w:t xml:space="preserve">Doppler shift </w:t>
      </w:r>
      <w:r w:rsidRPr="007211EC">
        <w:rPr>
          <w:rFonts w:eastAsia="Malgun Gothic"/>
          <w:sz w:val="22"/>
          <w:szCs w:val="22"/>
        </w:rPr>
        <w:t>to the UE</w:t>
      </w:r>
      <w:r>
        <w:rPr>
          <w:rFonts w:eastAsia="Malgun Gothic"/>
          <w:sz w:val="22"/>
          <w:szCs w:val="22"/>
        </w:rPr>
        <w:t>.</w:t>
      </w:r>
      <w:r w:rsidRPr="007211EC">
        <w:rPr>
          <w:rFonts w:eastAsia="Malgun Gothic"/>
          <w:sz w:val="22"/>
          <w:szCs w:val="22"/>
        </w:rPr>
        <w:t xml:space="preserve"> </w:t>
      </w:r>
    </w:p>
    <w:p w14:paraId="41C3C6B0" w14:textId="76F12128" w:rsidR="00942FF5" w:rsidRDefault="007211EC" w:rsidP="00AB2454">
      <w:pPr>
        <w:spacing w:before="60" w:after="60" w:line="288" w:lineRule="auto"/>
        <w:jc w:val="both"/>
        <w:rPr>
          <w:rFonts w:eastAsia="Malgun Gothic"/>
          <w:sz w:val="22"/>
          <w:szCs w:val="22"/>
        </w:rPr>
      </w:pPr>
      <w:r>
        <w:rPr>
          <w:rFonts w:eastAsia="Malgun Gothic"/>
          <w:sz w:val="22"/>
          <w:szCs w:val="22"/>
        </w:rPr>
        <w:t>The first</w:t>
      </w:r>
      <w:r w:rsidRPr="007211EC">
        <w:rPr>
          <w:rFonts w:eastAsia="Malgun Gothic"/>
          <w:sz w:val="22"/>
          <w:szCs w:val="22"/>
        </w:rPr>
        <w:t xml:space="preserve"> </w:t>
      </w:r>
      <w:r>
        <w:rPr>
          <w:rFonts w:eastAsia="Malgun Gothic"/>
          <w:sz w:val="22"/>
          <w:szCs w:val="22"/>
        </w:rPr>
        <w:t>approach</w:t>
      </w:r>
      <w:r w:rsidRPr="007211EC">
        <w:rPr>
          <w:rFonts w:eastAsia="Malgun Gothic"/>
          <w:sz w:val="22"/>
          <w:szCs w:val="22"/>
        </w:rPr>
        <w:t xml:space="preserve"> to pre-compensate the Doppler shift is to have the terminal estimate it based on the relative location of itself and the satellite. This approach would require prior knowledge of the satellite location at the terminal. </w:t>
      </w:r>
      <w:r>
        <w:rPr>
          <w:rFonts w:eastAsia="Malgun Gothic"/>
          <w:sz w:val="22"/>
          <w:szCs w:val="22"/>
        </w:rPr>
        <w:t xml:space="preserve">The second approach </w:t>
      </w:r>
      <w:r w:rsidRPr="007211EC">
        <w:rPr>
          <w:rFonts w:eastAsia="Malgun Gothic"/>
          <w:sz w:val="22"/>
          <w:szCs w:val="22"/>
        </w:rPr>
        <w:t>would be to estimate at the UL receiver, e.g., satellite or base station on the ground, for each terminal.</w:t>
      </w:r>
      <w:r w:rsidR="00AB2454">
        <w:rPr>
          <w:rFonts w:eastAsia="Malgun Gothic"/>
          <w:sz w:val="22"/>
          <w:szCs w:val="22"/>
        </w:rPr>
        <w:t xml:space="preserve"> </w:t>
      </w:r>
      <w:r w:rsidR="00F55FAA" w:rsidRPr="00F55FAA">
        <w:rPr>
          <w:rFonts w:eastAsia="Malgun Gothic"/>
          <w:sz w:val="22"/>
          <w:szCs w:val="22"/>
        </w:rPr>
        <w:t xml:space="preserve">Based on the estimate, the satellite or the base station on the ground indicates how </w:t>
      </w:r>
      <w:r w:rsidR="00F55FAA" w:rsidRPr="00F55FAA">
        <w:rPr>
          <w:rFonts w:eastAsia="Malgun Gothic"/>
          <w:sz w:val="22"/>
          <w:szCs w:val="22"/>
        </w:rPr>
        <w:lastRenderedPageBreak/>
        <w:t>much pre-compensation needs to be applied to each terminal.</w:t>
      </w:r>
    </w:p>
    <w:p w14:paraId="209DD3D7" w14:textId="74059123" w:rsidR="00EA4428" w:rsidRDefault="00EA4428" w:rsidP="00EA4428">
      <w:pPr>
        <w:wordWrap/>
        <w:spacing w:before="60" w:after="60" w:line="288" w:lineRule="auto"/>
        <w:jc w:val="both"/>
        <w:rPr>
          <w:rFonts w:eastAsia="Malgun Gothic"/>
          <w:sz w:val="22"/>
          <w:szCs w:val="22"/>
        </w:rPr>
      </w:pPr>
      <w:r w:rsidRPr="004845EB">
        <w:rPr>
          <w:rFonts w:hint="eastAsia"/>
          <w:b/>
          <w:i/>
          <w:sz w:val="22"/>
          <w:szCs w:val="22"/>
        </w:rPr>
        <w:t xml:space="preserve">Observation </w:t>
      </w:r>
      <w:r>
        <w:rPr>
          <w:b/>
          <w:i/>
          <w:sz w:val="22"/>
          <w:szCs w:val="22"/>
        </w:rPr>
        <w:t>2:</w:t>
      </w:r>
      <w:r>
        <w:rPr>
          <w:rFonts w:eastAsia="Malgun Gothic" w:hint="eastAsia"/>
          <w:sz w:val="22"/>
          <w:szCs w:val="22"/>
        </w:rPr>
        <w:t xml:space="preserve"> Two approaches for </w:t>
      </w:r>
      <w:r>
        <w:rPr>
          <w:rFonts w:eastAsia="Malgun Gothic"/>
          <w:sz w:val="22"/>
          <w:szCs w:val="22"/>
        </w:rPr>
        <w:t>Doppler shift</w:t>
      </w:r>
      <w:r>
        <w:rPr>
          <w:rFonts w:eastAsia="Malgun Gothic" w:hint="eastAsia"/>
          <w:sz w:val="22"/>
          <w:szCs w:val="22"/>
        </w:rPr>
        <w:t xml:space="preserve"> compensation</w:t>
      </w:r>
      <w:r>
        <w:rPr>
          <w:rFonts w:eastAsia="Malgun Gothic"/>
          <w:sz w:val="22"/>
          <w:szCs w:val="22"/>
        </w:rPr>
        <w:t>, i.e., autonomous compensation at the UE and gNB indication,</w:t>
      </w:r>
      <w:r>
        <w:rPr>
          <w:rFonts w:eastAsia="Malgun Gothic" w:hint="eastAsia"/>
          <w:sz w:val="22"/>
          <w:szCs w:val="22"/>
        </w:rPr>
        <w:t xml:space="preserve"> are feasible. </w:t>
      </w:r>
    </w:p>
    <w:p w14:paraId="4AE4C4B1" w14:textId="0A5FB628" w:rsidR="009F723E" w:rsidRPr="001D75BE" w:rsidRDefault="00D94F4C" w:rsidP="00847FA1">
      <w:pPr>
        <w:wordWrap/>
        <w:spacing w:before="60" w:after="60" w:line="288" w:lineRule="auto"/>
        <w:ind w:firstLine="284"/>
        <w:jc w:val="both"/>
        <w:rPr>
          <w:sz w:val="22"/>
          <w:szCs w:val="22"/>
        </w:rPr>
      </w:pPr>
      <w:r w:rsidRPr="001D75BE">
        <w:rPr>
          <w:sz w:val="22"/>
          <w:szCs w:val="22"/>
        </w:rPr>
        <w:t xml:space="preserve">As shown in </w:t>
      </w:r>
      <w:r w:rsidRPr="001D75BE">
        <w:rPr>
          <w:sz w:val="22"/>
          <w:szCs w:val="22"/>
        </w:rPr>
        <w:fldChar w:fldCharType="begin"/>
      </w:r>
      <w:r w:rsidRPr="001D75BE">
        <w:rPr>
          <w:sz w:val="22"/>
          <w:szCs w:val="22"/>
        </w:rPr>
        <w:instrText xml:space="preserve"> REF _Ref469485403 \h  \* MERGEFORMAT </w:instrText>
      </w:r>
      <w:r w:rsidRPr="001D75BE">
        <w:rPr>
          <w:sz w:val="22"/>
          <w:szCs w:val="22"/>
        </w:rPr>
      </w:r>
      <w:r w:rsidRPr="001D75BE">
        <w:rPr>
          <w:sz w:val="22"/>
          <w:szCs w:val="22"/>
        </w:rPr>
        <w:fldChar w:fldCharType="separate"/>
      </w:r>
      <w:r w:rsidRPr="001D75BE">
        <w:rPr>
          <w:sz w:val="22"/>
          <w:szCs w:val="22"/>
        </w:rPr>
        <w:t xml:space="preserve">Figure </w:t>
      </w:r>
      <w:r w:rsidR="00A116EB">
        <w:rPr>
          <w:noProof/>
          <w:sz w:val="22"/>
          <w:szCs w:val="22"/>
        </w:rPr>
        <w:t>3</w:t>
      </w:r>
      <w:r w:rsidRPr="001D75BE">
        <w:rPr>
          <w:sz w:val="22"/>
          <w:szCs w:val="22"/>
        </w:rPr>
        <w:fldChar w:fldCharType="end"/>
      </w:r>
      <w:r w:rsidRPr="001D75BE">
        <w:rPr>
          <w:sz w:val="22"/>
          <w:szCs w:val="22"/>
        </w:rPr>
        <w:t>, both satellite and HAPS can be deployed in NTNs. A key difference between a NTN and a common terrestrial network is that NTN is usually with much larger propagation delays due to the high altitude. In TR 38.811, the design of NTN targets base station (BS) heights ranging from 8 km to 35786 km, which are equivalent to propagation delays in the range [66.7μs, 120ms]. In practice, this propagation delay can be even larger than 120ms because of multipath effects.</w:t>
      </w:r>
      <w:r w:rsidR="009F723E" w:rsidRPr="001D75BE">
        <w:rPr>
          <w:sz w:val="22"/>
          <w:szCs w:val="22"/>
        </w:rPr>
        <w:t xml:space="preserve"> </w:t>
      </w:r>
    </w:p>
    <w:tbl>
      <w:tblPr>
        <w:tblW w:w="0" w:type="auto"/>
        <w:jc w:val="center"/>
        <w:tblLook w:val="04A0" w:firstRow="1" w:lastRow="0" w:firstColumn="1" w:lastColumn="0" w:noHBand="0" w:noVBand="1"/>
      </w:tblPr>
      <w:tblGrid>
        <w:gridCol w:w="4420"/>
        <w:gridCol w:w="4431"/>
      </w:tblGrid>
      <w:tr w:rsidR="00D94F4C" w:rsidRPr="001D75BE" w14:paraId="3A4AEA17" w14:textId="77777777" w:rsidTr="00363300">
        <w:trPr>
          <w:jc w:val="center"/>
        </w:trPr>
        <w:tc>
          <w:tcPr>
            <w:tcW w:w="4420" w:type="dxa"/>
            <w:shd w:val="clear" w:color="auto" w:fill="auto"/>
            <w:vAlign w:val="bottom"/>
          </w:tcPr>
          <w:p w14:paraId="455AA96B" w14:textId="77777777" w:rsidR="00D94F4C" w:rsidRPr="001D75BE" w:rsidRDefault="00D94F4C" w:rsidP="00847FA1">
            <w:pPr>
              <w:pStyle w:val="ListParagraph"/>
              <w:spacing w:after="120"/>
              <w:ind w:firstLine="480"/>
              <w:jc w:val="center"/>
              <w:rPr>
                <w:sz w:val="22"/>
                <w:szCs w:val="22"/>
              </w:rPr>
            </w:pPr>
            <w:r w:rsidRPr="001D75BE">
              <w:rPr>
                <w:noProof/>
                <w:sz w:val="22"/>
                <w:szCs w:val="22"/>
                <w:lang w:val="en-GB" w:eastAsia="zh-CN"/>
              </w:rPr>
              <w:drawing>
                <wp:inline distT="0" distB="0" distL="0" distR="0" wp14:anchorId="713B57AA" wp14:editId="0C9F1B68">
                  <wp:extent cx="1577340" cy="1844040"/>
                  <wp:effectExtent l="0" t="0" r="0" b="381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77340" cy="1844040"/>
                          </a:xfrm>
                          <a:prstGeom prst="rect">
                            <a:avLst/>
                          </a:prstGeom>
                          <a:noFill/>
                          <a:ln>
                            <a:noFill/>
                          </a:ln>
                        </pic:spPr>
                      </pic:pic>
                    </a:graphicData>
                  </a:graphic>
                </wp:inline>
              </w:drawing>
            </w:r>
          </w:p>
        </w:tc>
        <w:tc>
          <w:tcPr>
            <w:tcW w:w="4431" w:type="dxa"/>
            <w:shd w:val="clear" w:color="auto" w:fill="auto"/>
            <w:vAlign w:val="bottom"/>
          </w:tcPr>
          <w:p w14:paraId="42225606" w14:textId="77777777" w:rsidR="00D94F4C" w:rsidRPr="001D75BE" w:rsidRDefault="00D94F4C" w:rsidP="00847FA1">
            <w:pPr>
              <w:pStyle w:val="ListParagraph"/>
              <w:ind w:firstLine="480"/>
              <w:jc w:val="center"/>
              <w:rPr>
                <w:sz w:val="22"/>
                <w:szCs w:val="22"/>
              </w:rPr>
            </w:pPr>
            <w:r w:rsidRPr="001D75BE">
              <w:rPr>
                <w:noProof/>
                <w:sz w:val="22"/>
                <w:szCs w:val="22"/>
                <w:lang w:val="en-GB" w:eastAsia="zh-CN"/>
              </w:rPr>
              <w:drawing>
                <wp:inline distT="0" distB="0" distL="0" distR="0" wp14:anchorId="4EEB27FE" wp14:editId="2E6A127E">
                  <wp:extent cx="1592580" cy="1508760"/>
                  <wp:effectExtent l="0" t="0" r="7620"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92580" cy="1508760"/>
                          </a:xfrm>
                          <a:prstGeom prst="rect">
                            <a:avLst/>
                          </a:prstGeom>
                          <a:noFill/>
                          <a:ln>
                            <a:noFill/>
                          </a:ln>
                        </pic:spPr>
                      </pic:pic>
                    </a:graphicData>
                  </a:graphic>
                </wp:inline>
              </w:drawing>
            </w:r>
          </w:p>
        </w:tc>
      </w:tr>
    </w:tbl>
    <w:p w14:paraId="670339E3" w14:textId="77777777" w:rsidR="00F30835" w:rsidRPr="001D75BE" w:rsidRDefault="00F30835" w:rsidP="00847FA1">
      <w:pPr>
        <w:wordWrap/>
        <w:spacing w:before="60" w:after="60" w:line="288" w:lineRule="auto"/>
        <w:ind w:firstLine="284"/>
        <w:jc w:val="center"/>
        <w:rPr>
          <w:rFonts w:eastAsiaTheme="minorEastAsia"/>
          <w:sz w:val="22"/>
          <w:szCs w:val="22"/>
          <w:lang w:val="en-GB" w:eastAsia="zh-CN"/>
        </w:rPr>
      </w:pPr>
    </w:p>
    <w:p w14:paraId="01D0A8E3" w14:textId="7E2594F4" w:rsidR="009F723E" w:rsidRPr="001D75BE" w:rsidRDefault="009F723E" w:rsidP="00847FA1">
      <w:pPr>
        <w:wordWrap/>
        <w:spacing w:before="60" w:after="60" w:line="288" w:lineRule="auto"/>
        <w:ind w:firstLine="284"/>
        <w:jc w:val="center"/>
        <w:rPr>
          <w:rFonts w:eastAsiaTheme="minorEastAsia"/>
          <w:sz w:val="22"/>
          <w:szCs w:val="22"/>
          <w:lang w:val="en-GB" w:eastAsia="zh-CN"/>
        </w:rPr>
      </w:pPr>
      <w:r w:rsidRPr="001D75BE">
        <w:rPr>
          <w:rFonts w:eastAsiaTheme="minorEastAsia"/>
          <w:sz w:val="22"/>
          <w:szCs w:val="22"/>
          <w:lang w:val="en-GB" w:eastAsia="zh-CN"/>
        </w:rPr>
        <w:t xml:space="preserve">Fig. </w:t>
      </w:r>
      <w:r w:rsidR="00A116EB">
        <w:rPr>
          <w:rFonts w:eastAsiaTheme="minorEastAsia"/>
          <w:sz w:val="22"/>
          <w:szCs w:val="22"/>
          <w:lang w:val="en-GB" w:eastAsia="zh-CN"/>
        </w:rPr>
        <w:t>3</w:t>
      </w:r>
      <w:r w:rsidRPr="001D75BE">
        <w:rPr>
          <w:rFonts w:eastAsiaTheme="minorEastAsia"/>
          <w:sz w:val="22"/>
          <w:szCs w:val="22"/>
          <w:lang w:val="en-GB" w:eastAsia="zh-CN"/>
        </w:rPr>
        <w:t xml:space="preserve"> </w:t>
      </w:r>
      <w:r w:rsidR="00F30835" w:rsidRPr="001D75BE">
        <w:rPr>
          <w:rFonts w:eastAsiaTheme="minorEastAsia"/>
          <w:sz w:val="22"/>
          <w:szCs w:val="22"/>
          <w:lang w:val="en-GB" w:eastAsia="zh-CN"/>
        </w:rPr>
        <w:t>Deployment scenarios in NTN.</w:t>
      </w:r>
    </w:p>
    <w:p w14:paraId="3CEBC3C3" w14:textId="77777777" w:rsidR="009F723E" w:rsidRPr="001D75BE" w:rsidRDefault="00F30835" w:rsidP="00847FA1">
      <w:pPr>
        <w:wordWrap/>
        <w:spacing w:before="60" w:after="60" w:line="288" w:lineRule="auto"/>
        <w:ind w:firstLine="284"/>
        <w:jc w:val="both"/>
        <w:rPr>
          <w:sz w:val="22"/>
          <w:szCs w:val="22"/>
          <w:lang w:val="en-GB"/>
        </w:rPr>
      </w:pPr>
      <w:r w:rsidRPr="001D75BE">
        <w:rPr>
          <w:sz w:val="22"/>
          <w:szCs w:val="22"/>
          <w:lang w:val="en-GB"/>
        </w:rPr>
        <w:t>As a result, the existing timing advance range cannot support such long propagation delay and thus some enhancements need to be supported to obtain the UL timing advance.</w:t>
      </w:r>
    </w:p>
    <w:p w14:paraId="3BC1EBA1" w14:textId="104ACD7A" w:rsidR="009F723E" w:rsidRPr="001D75BE" w:rsidRDefault="009F723E" w:rsidP="00847FA1">
      <w:pPr>
        <w:wordWrap/>
        <w:spacing w:before="60" w:after="60" w:line="288" w:lineRule="auto"/>
        <w:jc w:val="both"/>
        <w:rPr>
          <w:sz w:val="22"/>
          <w:szCs w:val="22"/>
        </w:rPr>
      </w:pPr>
      <w:r w:rsidRPr="001D75BE">
        <w:rPr>
          <w:b/>
          <w:i/>
          <w:sz w:val="22"/>
          <w:szCs w:val="22"/>
        </w:rPr>
        <w:t>Proposal 1</w:t>
      </w:r>
      <w:r w:rsidRPr="001D75BE">
        <w:rPr>
          <w:i/>
          <w:sz w:val="22"/>
          <w:szCs w:val="22"/>
        </w:rPr>
        <w:t xml:space="preserve">: </w:t>
      </w:r>
      <w:r w:rsidR="00AE1A7B" w:rsidRPr="00AE1A7B">
        <w:rPr>
          <w:sz w:val="22"/>
          <w:szCs w:val="22"/>
        </w:rPr>
        <w:t>Range of UL TA should be increased to accommodate large propagation delay</w:t>
      </w:r>
      <w:r w:rsidR="00F30835" w:rsidRPr="001D75BE">
        <w:rPr>
          <w:sz w:val="22"/>
          <w:szCs w:val="22"/>
        </w:rPr>
        <w:t>.</w:t>
      </w:r>
    </w:p>
    <w:p w14:paraId="19795D87" w14:textId="5129557C" w:rsidR="00F30835" w:rsidRPr="001D75BE" w:rsidRDefault="00F30835" w:rsidP="00847FA1">
      <w:pPr>
        <w:wordWrap/>
        <w:spacing w:before="60" w:after="60" w:line="288" w:lineRule="auto"/>
        <w:jc w:val="both"/>
        <w:rPr>
          <w:sz w:val="22"/>
          <w:szCs w:val="22"/>
        </w:rPr>
      </w:pPr>
      <w:r w:rsidRPr="001D75BE">
        <w:rPr>
          <w:sz w:val="22"/>
          <w:szCs w:val="22"/>
        </w:rPr>
        <w:tab/>
        <w:t xml:space="preserve">Considering the extremely long propagation delay, the TA value can be much larger than that of terrestrial cellular networks. A cell-specific common TA value can be broadcasted by the satellite so the UE only needs to handle the residual TA. However, even the residual TA can be significant especially for GEO satellite where the cell size can be up to 1000 kms. One solution is to extend the current TA value range for NTN. However, another alternative is to assume a set of TA values consisting multiple TA values. For example, one cell can be divided into three zones as shown in Fig. </w:t>
      </w:r>
      <w:r w:rsidR="00A116EB">
        <w:rPr>
          <w:sz w:val="22"/>
          <w:szCs w:val="22"/>
        </w:rPr>
        <w:t>4</w:t>
      </w:r>
      <w:r w:rsidRPr="001D75BE">
        <w:rPr>
          <w:sz w:val="22"/>
          <w:szCs w:val="22"/>
        </w:rPr>
        <w:t>.</w:t>
      </w:r>
    </w:p>
    <w:p w14:paraId="6005B5F2" w14:textId="77777777" w:rsidR="00F30835" w:rsidRPr="001D75BE" w:rsidRDefault="00F30835" w:rsidP="00847FA1">
      <w:pPr>
        <w:wordWrap/>
        <w:spacing w:before="60" w:after="60" w:line="288" w:lineRule="auto"/>
        <w:jc w:val="both"/>
        <w:rPr>
          <w:sz w:val="22"/>
          <w:szCs w:val="22"/>
        </w:rPr>
      </w:pPr>
      <w:r w:rsidRPr="001D75BE">
        <w:rPr>
          <w:noProof/>
          <w:sz w:val="22"/>
          <w:szCs w:val="22"/>
          <w:lang w:val="en-GB" w:eastAsia="zh-CN"/>
        </w:rPr>
        <w:lastRenderedPageBreak/>
        <mc:AlternateContent>
          <mc:Choice Requires="wpc">
            <w:drawing>
              <wp:inline distT="0" distB="0" distL="0" distR="0" wp14:anchorId="36542FBC" wp14:editId="56B80F78">
                <wp:extent cx="5486400" cy="2957946"/>
                <wp:effectExtent l="0" t="0" r="0" b="0"/>
                <wp:docPr id="65" name="Canvas 6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5" name="Oval 55"/>
                        <wps:cNvSpPr/>
                        <wps:spPr>
                          <a:xfrm>
                            <a:off x="1239983" y="290946"/>
                            <a:ext cx="2770909" cy="2452254"/>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Chord 56"/>
                        <wps:cNvSpPr/>
                        <wps:spPr>
                          <a:xfrm>
                            <a:off x="1253836" y="304801"/>
                            <a:ext cx="2417618" cy="2417618"/>
                          </a:xfrm>
                          <a:prstGeom prst="chord">
                            <a:avLst>
                              <a:gd name="adj1" fmla="val 5079518"/>
                              <a:gd name="adj2" fmla="val 16200000"/>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Oval 57"/>
                        <wps:cNvSpPr/>
                        <wps:spPr>
                          <a:xfrm>
                            <a:off x="1932600" y="900436"/>
                            <a:ext cx="1371600" cy="1191260"/>
                          </a:xfrm>
                          <a:prstGeom prst="ellipse">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Text Box 58"/>
                        <wps:cNvSpPr txBox="1"/>
                        <wps:spPr>
                          <a:xfrm>
                            <a:off x="1431176" y="932411"/>
                            <a:ext cx="706581" cy="4849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CF0EFF" w14:textId="77777777" w:rsidR="00F30835" w:rsidRPr="00F14058" w:rsidRDefault="00F30835" w:rsidP="00F30835">
                              <w:r>
                                <w:t>Zone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Text Box 59"/>
                        <wps:cNvSpPr txBox="1"/>
                        <wps:spPr>
                          <a:xfrm>
                            <a:off x="2251364" y="1281546"/>
                            <a:ext cx="706581" cy="4849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7E6451" w14:textId="77777777" w:rsidR="00F30835" w:rsidRPr="00F14058" w:rsidRDefault="00F30835" w:rsidP="00F30835">
                              <w:r>
                                <w:t>Central Zone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Text Box 60"/>
                        <wps:cNvSpPr txBox="1"/>
                        <wps:spPr>
                          <a:xfrm>
                            <a:off x="3199016" y="922020"/>
                            <a:ext cx="706581" cy="4849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FDAF94" w14:textId="77777777" w:rsidR="00F30835" w:rsidRPr="00F14058" w:rsidRDefault="00F30835" w:rsidP="00F30835">
                              <w:r>
                                <w:t>Zone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 name="Oval 61"/>
                        <wps:cNvSpPr/>
                        <wps:spPr>
                          <a:xfrm>
                            <a:off x="1630680" y="1440180"/>
                            <a:ext cx="68580" cy="83820"/>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Oval 62"/>
                        <wps:cNvSpPr/>
                        <wps:spPr>
                          <a:xfrm>
                            <a:off x="3581400" y="1463040"/>
                            <a:ext cx="68580" cy="83820"/>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Text Box 63"/>
                        <wps:cNvSpPr txBox="1"/>
                        <wps:spPr>
                          <a:xfrm>
                            <a:off x="3259976" y="1568660"/>
                            <a:ext cx="706581" cy="4849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C4EF70" w14:textId="77777777" w:rsidR="00F30835" w:rsidRPr="00F14058" w:rsidRDefault="00F30835" w:rsidP="00F30835">
                              <w:pPr>
                                <w:jc w:val="center"/>
                              </w:pPr>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Text Box 64"/>
                        <wps:cNvSpPr txBox="1"/>
                        <wps:spPr>
                          <a:xfrm>
                            <a:off x="1309256" y="1546863"/>
                            <a:ext cx="706581" cy="4849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D50D68" w14:textId="77777777" w:rsidR="00F30835" w:rsidRPr="00F14058" w:rsidRDefault="00F30835" w:rsidP="00F30835">
                              <w:pPr>
                                <w:jc w:val="center"/>
                              </w:pPr>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6542FBC" id="Canvas 65" o:spid="_x0000_s1026" editas="canvas" style="width:6in;height:232.9pt;mso-position-horizontal-relative:char;mso-position-vertical-relative:line" coordsize="54864,295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9578;visibility:visible;mso-wrap-style:square">
                  <v:fill o:detectmouseclick="t"/>
                  <v:path o:connecttype="none"/>
                </v:shape>
                <v:oval id="Oval 55" o:spid="_x0000_s1028" style="position:absolute;left:12399;top:2909;width:27709;height:245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bv8sQA&#10;AADbAAAADwAAAGRycy9kb3ducmV2LnhtbESPQWvCQBSE74L/YXmCN91UVGzqRkQI2EIPpun9kX1N&#10;lmTfhuyqsb++Wyj0OMzMN8z+MNpO3GjwxrGCp2UCgrhy2nCtoPzIFzsQPiBr7ByTggd5OGTTyR5T&#10;7e58oVsRahEh7FNU0ITQp1L6qiGLful64uh9ucFiiHKopR7wHuG2k6sk2UqLhuNCgz2dGqra4moV&#10;fJ/z0oTrc7FLyrf2ff2aO2k+lZrPxuMLiEBj+A//tc9awWYDv1/iD5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W7/LEAAAA2wAAAA8AAAAAAAAAAAAAAAAAmAIAAGRycy9k&#10;b3ducmV2LnhtbFBLBQYAAAAABAAEAPUAAACJAwAAAAA=&#10;" fillcolor="#5b9bd5 [3204]" strokecolor="#1f4d78 [1604]" strokeweight="1pt">
                  <v:stroke joinstyle="miter"/>
                </v:oval>
                <v:shape id="Chord 56" o:spid="_x0000_s1029" style="position:absolute;left:12538;top:3048;width:24176;height:24176;visibility:visible;mso-wrap-style:square;v-text-anchor:middle" coordsize="2417618,2417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HnGsUA&#10;AADbAAAADwAAAGRycy9kb3ducmV2LnhtbESPQWvCQBSE74X+h+UJ3urGFq2krlIKhSq5GEvR22v2&#10;mQSzb9PdVaO/3hWEHoeZ+YaZzjvTiCM5X1tWMBwkIIgLq2suFXyvP58mIHxA1thYJgVn8jCfPT5M&#10;MdX2xCs65qEUEcI+RQVVCG0qpS8qMugHtiWO3s46gyFKV0rt8BThppHPSTKWBmuOCxW29FFRsc8P&#10;RsHfxbvLa/vj1y+HzG62v5htFkul+r3u/Q1EoC78h+/tL61gNIbbl/gD5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EecaxQAAANsAAAAPAAAAAAAAAAAAAAAAAJgCAABkcnMv&#10;ZG93bnJldi54bWxQSwUGAAAAAAQABAD1AAAAigMAAAAA&#10;" path="m1321336,2412369c877955,2453823,447690,2248146,201510,1877067,-44670,1505987,-66891,1029608,143676,637222,354243,244837,763494,,1208809,r112527,2412369xe" fillcolor="#ed7d31 [3205]" strokecolor="#1f4d78 [1604]" strokeweight="1pt">
                  <v:stroke joinstyle="miter"/>
                  <v:path arrowok="t" o:connecttype="custom" o:connectlocs="1321336,2412369;201510,1877067;143676,637222;1208809,0;1321336,2412369" o:connectangles="0,0,0,0,0"/>
                </v:shape>
                <v:oval id="Oval 57" o:spid="_x0000_s1030" style="position:absolute;left:19326;top:9004;width:13716;height:119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obfcUA&#10;AADbAAAADwAAAGRycy9kb3ducmV2LnhtbESP0WrCQBRE3wv+w3IFX4puGmjVmI1IUdqHohj9gEv2&#10;mgSzd0N2TdK/7xYKfRxm5gyTbkfTiJ46V1tW8LKIQBAXVtdcKrheDvMVCOeRNTaWScE3Odhmk6cU&#10;E20HPlOf+1IECLsEFVTet4mUrqjIoFvYljh4N9sZ9EF2pdQdDgFuGhlH0Zs0WHNYqLCl94qKe/4w&#10;CtYf9jmPL/lpf37Yvqi/hn18HJSaTcfdBoSn0f+H/9qfWsHrEn6/hB8gs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mht9xQAAANsAAAAPAAAAAAAAAAAAAAAAAJgCAABkcnMv&#10;ZG93bnJldi54bWxQSwUGAAAAAAQABAD1AAAAigMAAAAA&#10;" fillcolor="#a5a5a5 [3206]" strokecolor="#1f4d78 [1604]" strokeweight="1pt">
                  <v:stroke joinstyle="miter"/>
                </v:oval>
                <v:shapetype id="_x0000_t202" coordsize="21600,21600" o:spt="202" path="m,l,21600r21600,l21600,xe">
                  <v:stroke joinstyle="miter"/>
                  <v:path gradientshapeok="t" o:connecttype="rect"/>
                </v:shapetype>
                <v:shape id="Text Box 58" o:spid="_x0000_s1031" type="#_x0000_t202" style="position:absolute;left:14311;top:9324;width:7066;height:4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uvScIA&#10;AADbAAAADwAAAGRycy9kb3ducmV2LnhtbERPTWvCQBC9F/wPywje6saARaKrSCBYxB5ivfQ2Zsck&#10;mJ2N2a2J/fXdg+Dx8b5Xm8E04k6dqy0rmE0jEMSF1TWXCk7f2fsChPPIGhvLpOBBDjbr0dsKE217&#10;zul+9KUIIewSVFB53yZSuqIig25qW+LAXWxn0AfYlVJ32Idw08g4ij6kwZpDQ4UtpRUV1+OvUbBP&#10;sy/Mz7FZ/DXp7nDZtrfTz1ypyXjYLkF4GvxL/HR/agXzMDZ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C69JwgAAANsAAAAPAAAAAAAAAAAAAAAAAJgCAABkcnMvZG93&#10;bnJldi54bWxQSwUGAAAAAAQABAD1AAAAhwMAAAAA&#10;" filled="f" stroked="f" strokeweight=".5pt">
                  <v:textbox>
                    <w:txbxContent>
                      <w:p w14:paraId="20CF0EFF" w14:textId="77777777" w:rsidR="00F30835" w:rsidRPr="00F14058" w:rsidRDefault="00F30835" w:rsidP="00F30835">
                        <w:r>
                          <w:t>Zone 2</w:t>
                        </w:r>
                      </w:p>
                    </w:txbxContent>
                  </v:textbox>
                </v:shape>
                <v:shape id="Text Box 59" o:spid="_x0000_s1032" type="#_x0000_t202" style="position:absolute;left:22513;top:12815;width:7066;height:4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cK0sQA&#10;AADbAAAADwAAAGRycy9kb3ducmV2LnhtbESPT4vCMBTE74LfITxhb5oqKFqNIgVxWfTgn4u3Z/Ns&#10;i81LbbJa/fRmYcHjMDO/YWaLxpTiTrUrLCvo9yIQxKnVBWcKjodVdwzCeWSNpWVS8CQHi3m7NcNY&#10;2wfv6L73mQgQdjEqyL2vYildmpNB17MVcfAutjbog6wzqWt8BLgp5SCKRtJgwWEhx4qSnNLr/tco&#10;+ElWW9ydB2b8KpP15rKsbsfTUKmvTrOcgvDU+E/4v/2tFQwn8Pcl/AA5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HCtLEAAAA2wAAAA8AAAAAAAAAAAAAAAAAmAIAAGRycy9k&#10;b3ducmV2LnhtbFBLBQYAAAAABAAEAPUAAACJAwAAAAA=&#10;" filled="f" stroked="f" strokeweight=".5pt">
                  <v:textbox>
                    <w:txbxContent>
                      <w:p w14:paraId="207E6451" w14:textId="77777777" w:rsidR="00F30835" w:rsidRPr="00F14058" w:rsidRDefault="00F30835" w:rsidP="00F30835">
                        <w:r>
                          <w:t>Central Zone</w:t>
                        </w:r>
                      </w:p>
                    </w:txbxContent>
                  </v:textbox>
                </v:shape>
                <v:shape id="Text Box 60" o:spid="_x0000_s1033" type="#_x0000_t202" style="position:absolute;left:31990;top:9220;width:7065;height:4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p8sIA&#10;AADbAAAADwAAAGRycy9kb3ducmV2LnhtbERPTWvCQBC9F/oflin01mwMVCTNKhIISqkHNRdv0+yY&#10;BLOzMbtq2l/vHgSPj/edLUbTiSsNrrWsYBLFIIgrq1uuFZT74mMGwnlkjZ1lUvBHDhbz15cMU21v&#10;vKXrztcihLBLUUHjfZ9K6aqGDLrI9sSBO9rBoA9wqKUe8BbCTSeTOJ5Kgy2HhgZ7yhuqTruLUfCd&#10;Fxvc/iZm9t/lq5/jsj+Xh0+l3t/G5RcIT6N/ih/utVYwDevDl/A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EWnywgAAANsAAAAPAAAAAAAAAAAAAAAAAJgCAABkcnMvZG93&#10;bnJldi54bWxQSwUGAAAAAAQABAD1AAAAhwMAAAAA&#10;" filled="f" stroked="f" strokeweight=".5pt">
                  <v:textbox>
                    <w:txbxContent>
                      <w:p w14:paraId="14FDAF94" w14:textId="77777777" w:rsidR="00F30835" w:rsidRPr="00F14058" w:rsidRDefault="00F30835" w:rsidP="00F30835">
                        <w:r>
                          <w:t>Zone 1</w:t>
                        </w:r>
                      </w:p>
                    </w:txbxContent>
                  </v:textbox>
                </v:shape>
                <v:oval id="Oval 61" o:spid="_x0000_s1034" style="position:absolute;left:16306;top:14401;width:686;height:8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X47cQA&#10;AADbAAAADwAAAGRycy9kb3ducmV2LnhtbESPQWsCMRSE70L/Q3hCb5pVishqFJEKBUuLbg89PjfP&#10;3XU3LyFJdfvvm4LgcZiZb5jlujeduJIPjWUFk3EGgri0uuFKwVexG81BhIissbNMCn4pwHr1NFhi&#10;ru2ND3Q9xkokCIccFdQxulzKUNZkMIytI07e2XqDMUlfSe3xluCmk9Msm0mDDaeFGh1tayrb449R&#10;UOzb9/3Ht3+1sX3Zzj9PrrigU+p52G8WICL18RG+t9+0gtkE/r+kH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l+O3EAAAA2wAAAA8AAAAAAAAAAAAAAAAAmAIAAGRycy9k&#10;b3ducmV2LnhtbFBLBQYAAAAABAAEAPUAAACJAwAAAAA=&#10;" fillcolor="black [3213]" strokecolor="#1f4d78 [1604]" strokeweight="1pt">
                  <v:stroke joinstyle="miter"/>
                </v:oval>
                <v:oval id="Oval 62" o:spid="_x0000_s1035" style="position:absolute;left:35814;top:14630;width:685;height:8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dmmsQA&#10;AADbAAAADwAAAGRycy9kb3ducmV2LnhtbESPQWsCMRSE7wX/Q3iCt5pVRGRrFBGFgqVS14PH183r&#10;7nY3LyFJdfvvG6HgcZiZb5jlujeduJIPjWUFk3EGgri0uuFKwbnYPy9AhIissbNMCn4pwHo1eFpi&#10;ru2NP+h6ipVIEA45KqhjdLmUoazJYBhbR5y8L+sNxiR9JbXHW4KbTk6zbC4NNpwWanS0ralsTz9G&#10;QXFo3w7vF7+zsZ1tF8dPV3yjU2o07DcvICL18RH+b79qBfMp3L+kH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3ZprEAAAA2wAAAA8AAAAAAAAAAAAAAAAAmAIAAGRycy9k&#10;b3ducmV2LnhtbFBLBQYAAAAABAAEAPUAAACJAwAAAAA=&#10;" fillcolor="black [3213]" strokecolor="#1f4d78 [1604]" strokeweight="1pt">
                  <v:stroke joinstyle="miter"/>
                </v:oval>
                <v:shape id="Text Box 63" o:spid="_x0000_s1036" type="#_x0000_t202" style="position:absolute;left:32599;top:15686;width:7066;height:4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3hcUA&#10;AADbAAAADwAAAGRycy9kb3ducmV2LnhtbESPQWvCQBSE7wX/w/IEb3VjR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w/eFxQAAANsAAAAPAAAAAAAAAAAAAAAAAJgCAABkcnMv&#10;ZG93bnJldi54bWxQSwUGAAAAAAQABAD1AAAAigMAAAAA&#10;" filled="f" stroked="f" strokeweight=".5pt">
                  <v:textbox>
                    <w:txbxContent>
                      <w:p w14:paraId="7EC4EF70" w14:textId="77777777" w:rsidR="00F30835" w:rsidRPr="00F14058" w:rsidRDefault="00F30835" w:rsidP="00F30835">
                        <w:pPr>
                          <w:jc w:val="center"/>
                        </w:pPr>
                        <w:r>
                          <w:t>A</w:t>
                        </w:r>
                      </w:p>
                    </w:txbxContent>
                  </v:textbox>
                </v:shape>
                <v:shape id="Text Box 64" o:spid="_x0000_s1037" type="#_x0000_t202" style="position:absolute;left:13092;top:15468;width:7066;height:4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pv8cUA&#10;AADbAAAADwAAAGRycy9kb3ducmV2LnhtbESPQWvCQBSE7wX/w/IEb3VjU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m/xxQAAANsAAAAPAAAAAAAAAAAAAAAAAJgCAABkcnMv&#10;ZG93bnJldi54bWxQSwUGAAAAAAQABAD1AAAAigMAAAAA&#10;" filled="f" stroked="f" strokeweight=".5pt">
                  <v:textbox>
                    <w:txbxContent>
                      <w:p w14:paraId="1BD50D68" w14:textId="77777777" w:rsidR="00F30835" w:rsidRPr="00F14058" w:rsidRDefault="00F30835" w:rsidP="00F30835">
                        <w:pPr>
                          <w:jc w:val="center"/>
                        </w:pPr>
                        <w:r>
                          <w:t>B</w:t>
                        </w:r>
                      </w:p>
                    </w:txbxContent>
                  </v:textbox>
                </v:shape>
                <w10:anchorlock/>
              </v:group>
            </w:pict>
          </mc:Fallback>
        </mc:AlternateContent>
      </w:r>
    </w:p>
    <w:p w14:paraId="5621DDB4" w14:textId="48F2EFB9" w:rsidR="00F30835" w:rsidRPr="001D75BE" w:rsidRDefault="00F30835" w:rsidP="00847FA1">
      <w:pPr>
        <w:wordWrap/>
        <w:spacing w:before="60" w:after="60" w:line="288" w:lineRule="auto"/>
        <w:jc w:val="center"/>
        <w:rPr>
          <w:rFonts w:eastAsiaTheme="minorEastAsia"/>
          <w:sz w:val="22"/>
          <w:szCs w:val="22"/>
          <w:lang w:val="en-GB" w:eastAsia="zh-CN"/>
        </w:rPr>
      </w:pPr>
      <w:r w:rsidRPr="001D75BE">
        <w:rPr>
          <w:rFonts w:eastAsiaTheme="minorEastAsia"/>
          <w:sz w:val="22"/>
          <w:szCs w:val="22"/>
          <w:lang w:val="en-GB" w:eastAsia="zh-CN"/>
        </w:rPr>
        <w:t xml:space="preserve">Fig. </w:t>
      </w:r>
      <w:r w:rsidR="00A116EB">
        <w:rPr>
          <w:rFonts w:eastAsiaTheme="minorEastAsia"/>
          <w:sz w:val="22"/>
          <w:szCs w:val="22"/>
          <w:lang w:val="en-GB" w:eastAsia="zh-CN"/>
        </w:rPr>
        <w:t>4</w:t>
      </w:r>
      <w:r w:rsidRPr="001D75BE">
        <w:rPr>
          <w:rFonts w:eastAsiaTheme="minorEastAsia"/>
          <w:sz w:val="22"/>
          <w:szCs w:val="22"/>
          <w:lang w:val="en-GB" w:eastAsia="zh-CN"/>
        </w:rPr>
        <w:t xml:space="preserve"> Multiple TA values for multiple zones.</w:t>
      </w:r>
    </w:p>
    <w:p w14:paraId="6C432598" w14:textId="77777777" w:rsidR="00F30835" w:rsidRPr="001D75BE" w:rsidRDefault="00F30835" w:rsidP="00847FA1">
      <w:pPr>
        <w:wordWrap/>
        <w:spacing w:before="60" w:after="60" w:line="288" w:lineRule="auto"/>
        <w:jc w:val="both"/>
        <w:rPr>
          <w:sz w:val="22"/>
          <w:szCs w:val="22"/>
        </w:rPr>
      </w:pPr>
      <w:r w:rsidRPr="001D75BE">
        <w:rPr>
          <w:rFonts w:eastAsiaTheme="minorEastAsia"/>
          <w:sz w:val="22"/>
          <w:szCs w:val="22"/>
          <w:lang w:val="en-GB" w:eastAsia="zh-CN"/>
        </w:rPr>
        <w:tab/>
      </w:r>
      <w:r w:rsidRPr="001D75BE">
        <w:rPr>
          <w:sz w:val="22"/>
          <w:szCs w:val="22"/>
        </w:rPr>
        <w:t>For the central zone one, the reference point for TA value is the central point of a cell. For the surrounding zone 1 and 2, the reference point can be chosen as point A and B, respectively. In total three TA values can be assumed and which TA value is assumed by the UE can either be signalled by the satellite or derived by the UE itself if it knows its own location.</w:t>
      </w:r>
    </w:p>
    <w:p w14:paraId="670624F0" w14:textId="17CA264C" w:rsidR="00F30835" w:rsidRPr="001D75BE" w:rsidRDefault="00F30835" w:rsidP="00847FA1">
      <w:pPr>
        <w:wordWrap/>
        <w:spacing w:before="60" w:after="60" w:line="288" w:lineRule="auto"/>
        <w:jc w:val="both"/>
        <w:rPr>
          <w:sz w:val="22"/>
          <w:szCs w:val="22"/>
        </w:rPr>
      </w:pPr>
      <w:r w:rsidRPr="001D75BE">
        <w:rPr>
          <w:b/>
          <w:i/>
          <w:sz w:val="22"/>
          <w:szCs w:val="22"/>
        </w:rPr>
        <w:t>Proposal 2</w:t>
      </w:r>
      <w:r w:rsidRPr="001D75BE">
        <w:rPr>
          <w:i/>
          <w:sz w:val="22"/>
          <w:szCs w:val="22"/>
        </w:rPr>
        <w:t xml:space="preserve">: </w:t>
      </w:r>
      <w:r w:rsidRPr="001D75BE">
        <w:rPr>
          <w:sz w:val="22"/>
          <w:szCs w:val="22"/>
        </w:rPr>
        <w:t xml:space="preserve">Multiple </w:t>
      </w:r>
      <w:r w:rsidR="00A116EB">
        <w:rPr>
          <w:sz w:val="22"/>
          <w:szCs w:val="22"/>
        </w:rPr>
        <w:t>reference points</w:t>
      </w:r>
      <w:r w:rsidRPr="001D75BE">
        <w:rPr>
          <w:sz w:val="22"/>
          <w:szCs w:val="22"/>
        </w:rPr>
        <w:t xml:space="preserve"> </w:t>
      </w:r>
      <w:r w:rsidR="00A116EB">
        <w:rPr>
          <w:sz w:val="22"/>
          <w:szCs w:val="22"/>
        </w:rPr>
        <w:t>and common TA values should</w:t>
      </w:r>
      <w:r w:rsidRPr="001D75BE">
        <w:rPr>
          <w:sz w:val="22"/>
          <w:szCs w:val="22"/>
        </w:rPr>
        <w:t xml:space="preserve"> be considered for extremely large cells.</w:t>
      </w:r>
    </w:p>
    <w:p w14:paraId="782E8D61" w14:textId="77777777" w:rsidR="00A116EB" w:rsidRDefault="00F30835" w:rsidP="00A116EB">
      <w:pPr>
        <w:wordWrap/>
        <w:spacing w:before="60" w:after="60" w:line="288" w:lineRule="auto"/>
        <w:ind w:firstLine="360"/>
        <w:jc w:val="both"/>
        <w:rPr>
          <w:sz w:val="22"/>
          <w:szCs w:val="22"/>
        </w:rPr>
      </w:pPr>
      <w:r w:rsidRPr="001D75BE">
        <w:rPr>
          <w:sz w:val="22"/>
          <w:szCs w:val="22"/>
        </w:rPr>
        <w:tab/>
      </w:r>
      <w:r w:rsidR="00A116EB">
        <w:rPr>
          <w:sz w:val="22"/>
          <w:szCs w:val="22"/>
        </w:rPr>
        <w:t xml:space="preserve">Moreover, it is observed that the common propagation delay varies remarkably according to the location of the gNB, e.g. according to the type of the satellite. For example, if the gNB is GEO, the common propagation delay can be as large as more than 100 ms, while if the gNB is LEO, the common propagation delay can be only tens of ms. This large difference of delay propagation implies a different granularity and offset when indicating the common TA, wherein the granularity and offset can be determined from the NTN type. For this purpose, we propose a signaling of NTN type in SIB (e.g. SIB1) to facilitate the indication of common TA(s), and a particular example can be, for each of the indicated TA, SIB include a field of TA indication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TA</m:t>
            </m:r>
          </m:sub>
        </m:sSub>
      </m:oMath>
      <w:r w:rsidR="00A116EB">
        <w:rPr>
          <w:sz w:val="22"/>
          <w:szCs w:val="22"/>
        </w:rPr>
        <w:t xml:space="preserve"> and a NTN type indication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NTN</m:t>
            </m:r>
          </m:sub>
        </m:sSub>
      </m:oMath>
      <w:r w:rsidR="00A116EB">
        <w:rPr>
          <w:sz w:val="22"/>
          <w:szCs w:val="22"/>
        </w:rPr>
        <w:t xml:space="preserve">, and the UE determines an offset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TA</m:t>
            </m:r>
          </m:sub>
        </m:sSub>
      </m:oMath>
      <w:r w:rsidR="00A116EB">
        <w:rPr>
          <w:sz w:val="22"/>
          <w:szCs w:val="22"/>
        </w:rPr>
        <w:t xml:space="preserve"> and a scaling factor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TA</m:t>
            </m:r>
          </m:sub>
        </m:sSub>
      </m:oMath>
      <w:r w:rsidR="00A116EB">
        <w:rPr>
          <w:sz w:val="22"/>
          <w:szCs w:val="22"/>
        </w:rPr>
        <w:t xml:space="preserve"> based on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NTN</m:t>
            </m:r>
          </m:sub>
        </m:sSub>
      </m:oMath>
      <w:r w:rsidR="00A116EB">
        <w:rPr>
          <w:sz w:val="22"/>
          <w:szCs w:val="22"/>
        </w:rPr>
        <w:t xml:space="preserve"> (e.g. this determination can be based on a table in the specification), then calculates the common TA according to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TA</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TA</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TA</m:t>
            </m:r>
          </m:sub>
        </m:sSub>
      </m:oMath>
      <w:r w:rsidR="00A116EB">
        <w:rPr>
          <w:sz w:val="22"/>
          <w:szCs w:val="22"/>
        </w:rPr>
        <w:t xml:space="preserve">. </w:t>
      </w:r>
    </w:p>
    <w:p w14:paraId="2CF2B51B" w14:textId="7636CC62" w:rsidR="00A116EB" w:rsidRPr="001D75BE" w:rsidRDefault="00A116EB" w:rsidP="00A116EB">
      <w:pPr>
        <w:wordWrap/>
        <w:spacing w:before="60" w:after="60" w:line="288" w:lineRule="auto"/>
        <w:ind w:firstLine="360"/>
        <w:jc w:val="both"/>
        <w:rPr>
          <w:sz w:val="22"/>
          <w:szCs w:val="22"/>
        </w:rPr>
      </w:pPr>
      <w:r>
        <w:rPr>
          <w:sz w:val="22"/>
          <w:szCs w:val="22"/>
        </w:rPr>
        <w:t xml:space="preserve">Other use case of the NTN type, especially for higher layers, can be found in our companion contribution. </w:t>
      </w:r>
    </w:p>
    <w:p w14:paraId="761A91D1" w14:textId="112CF59C" w:rsidR="00A116EB" w:rsidRPr="001D75BE" w:rsidRDefault="00A116EB" w:rsidP="00A116EB">
      <w:pPr>
        <w:wordWrap/>
        <w:spacing w:before="60" w:after="60" w:line="288" w:lineRule="auto"/>
        <w:jc w:val="both"/>
        <w:rPr>
          <w:sz w:val="22"/>
          <w:szCs w:val="22"/>
        </w:rPr>
      </w:pPr>
      <w:r w:rsidRPr="001D75BE">
        <w:rPr>
          <w:b/>
          <w:i/>
          <w:sz w:val="22"/>
          <w:szCs w:val="22"/>
        </w:rPr>
        <w:t xml:space="preserve">Proposal </w:t>
      </w:r>
      <w:r>
        <w:rPr>
          <w:b/>
          <w:i/>
          <w:sz w:val="22"/>
          <w:szCs w:val="22"/>
        </w:rPr>
        <w:t>3</w:t>
      </w:r>
      <w:r>
        <w:rPr>
          <w:sz w:val="22"/>
          <w:szCs w:val="22"/>
        </w:rPr>
        <w:t>: Si</w:t>
      </w:r>
      <w:r w:rsidRPr="001D75BE">
        <w:rPr>
          <w:sz w:val="22"/>
          <w:szCs w:val="22"/>
        </w:rPr>
        <w:t>g</w:t>
      </w:r>
      <w:r>
        <w:rPr>
          <w:sz w:val="22"/>
          <w:szCs w:val="22"/>
        </w:rPr>
        <w:t>n</w:t>
      </w:r>
      <w:r w:rsidRPr="001D75BE">
        <w:rPr>
          <w:sz w:val="22"/>
          <w:szCs w:val="22"/>
        </w:rPr>
        <w:t>aling NTN type in SIB should be supported.</w:t>
      </w:r>
    </w:p>
    <w:p w14:paraId="479E2FB9" w14:textId="77777777" w:rsidR="008951CA" w:rsidRPr="00BF16D8" w:rsidRDefault="009C1AB8" w:rsidP="00847FA1">
      <w:pPr>
        <w:pStyle w:val="Heading1"/>
        <w:spacing w:after="60"/>
        <w:ind w:left="431" w:hanging="431"/>
        <w:rPr>
          <w:rFonts w:eastAsia="Malgun Gothic"/>
          <w:color w:val="000000"/>
          <w:lang w:eastAsia="ko-KR"/>
        </w:rPr>
      </w:pPr>
      <w:r>
        <w:rPr>
          <w:rFonts w:eastAsia="Malgun Gothic"/>
          <w:color w:val="000000"/>
          <w:lang w:eastAsia="ko-KR"/>
        </w:rPr>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14:paraId="1A999BC9" w14:textId="77777777" w:rsidR="005E37A1" w:rsidRPr="001D75BE" w:rsidRDefault="005E37A1" w:rsidP="00847FA1">
      <w:pPr>
        <w:wordWrap/>
        <w:spacing w:before="60" w:after="60" w:line="288" w:lineRule="auto"/>
        <w:ind w:firstLine="284"/>
        <w:jc w:val="both"/>
        <w:rPr>
          <w:rFonts w:eastAsia="Malgun Gothic"/>
          <w:color w:val="000000"/>
          <w:sz w:val="22"/>
          <w:szCs w:val="22"/>
        </w:rPr>
      </w:pPr>
      <w:r w:rsidRPr="001D75BE">
        <w:rPr>
          <w:rFonts w:eastAsia="Malgun Gothic"/>
          <w:color w:val="000000"/>
          <w:sz w:val="22"/>
          <w:szCs w:val="22"/>
        </w:rPr>
        <w:t xml:space="preserve">In this contribution, we </w:t>
      </w:r>
      <w:r w:rsidR="00E56427" w:rsidRPr="001D75BE">
        <w:rPr>
          <w:rFonts w:eastAsia="Malgun Gothic"/>
          <w:color w:val="000000"/>
          <w:sz w:val="22"/>
          <w:szCs w:val="22"/>
        </w:rPr>
        <w:t xml:space="preserve">discussed </w:t>
      </w:r>
      <w:r w:rsidR="00954A88" w:rsidRPr="001D75BE">
        <w:rPr>
          <w:rFonts w:eastAsia="Malgun Gothic"/>
          <w:color w:val="000000"/>
          <w:sz w:val="22"/>
          <w:szCs w:val="22"/>
        </w:rPr>
        <w:t xml:space="preserve">the </w:t>
      </w:r>
      <w:r w:rsidR="009265B2" w:rsidRPr="001D75BE">
        <w:rPr>
          <w:rFonts w:eastAsia="Malgun Gothic"/>
          <w:color w:val="000000"/>
          <w:sz w:val="22"/>
          <w:szCs w:val="22"/>
        </w:rPr>
        <w:t>enhancements on UL time and frequency synchronization for NTN</w:t>
      </w:r>
      <w:r w:rsidRPr="001D75BE">
        <w:rPr>
          <w:rFonts w:eastAsia="Malgun Gothic"/>
          <w:color w:val="000000"/>
          <w:sz w:val="22"/>
          <w:szCs w:val="22"/>
        </w:rPr>
        <w:t>. Our proposals are summarized below.</w:t>
      </w:r>
    </w:p>
    <w:p w14:paraId="4A3C2583" w14:textId="77777777" w:rsidR="00A116EB" w:rsidRDefault="00A116EB" w:rsidP="00A116EB">
      <w:pPr>
        <w:wordWrap/>
        <w:spacing w:before="60" w:after="60" w:line="288" w:lineRule="auto"/>
        <w:jc w:val="both"/>
        <w:rPr>
          <w:rFonts w:eastAsia="Malgun Gothic"/>
          <w:sz w:val="22"/>
          <w:szCs w:val="22"/>
        </w:rPr>
      </w:pPr>
      <w:r w:rsidRPr="004845EB">
        <w:rPr>
          <w:rFonts w:hint="eastAsia"/>
          <w:b/>
          <w:i/>
          <w:sz w:val="22"/>
          <w:szCs w:val="22"/>
        </w:rPr>
        <w:t>Observation 1</w:t>
      </w:r>
      <w:r>
        <w:rPr>
          <w:b/>
          <w:i/>
          <w:sz w:val="22"/>
          <w:szCs w:val="22"/>
        </w:rPr>
        <w:t>:</w:t>
      </w:r>
      <w:r>
        <w:rPr>
          <w:rFonts w:eastAsia="Malgun Gothic" w:hint="eastAsia"/>
          <w:sz w:val="22"/>
          <w:szCs w:val="22"/>
        </w:rPr>
        <w:t xml:space="preserve"> Two approaches for TA compensation</w:t>
      </w:r>
      <w:r>
        <w:rPr>
          <w:rFonts w:eastAsia="Malgun Gothic"/>
          <w:sz w:val="22"/>
          <w:szCs w:val="22"/>
        </w:rPr>
        <w:t>, i.e., autonomous compensation at the UE and gNB indication,</w:t>
      </w:r>
      <w:r>
        <w:rPr>
          <w:rFonts w:eastAsia="Malgun Gothic" w:hint="eastAsia"/>
          <w:sz w:val="22"/>
          <w:szCs w:val="22"/>
        </w:rPr>
        <w:t xml:space="preserve"> are feasible. </w:t>
      </w:r>
    </w:p>
    <w:p w14:paraId="12D5D3B9" w14:textId="77777777" w:rsidR="00A116EB" w:rsidRDefault="00A116EB" w:rsidP="00A116EB">
      <w:pPr>
        <w:wordWrap/>
        <w:spacing w:before="60" w:after="60" w:line="288" w:lineRule="auto"/>
        <w:jc w:val="both"/>
        <w:rPr>
          <w:rFonts w:eastAsia="Malgun Gothic"/>
          <w:sz w:val="22"/>
          <w:szCs w:val="22"/>
        </w:rPr>
      </w:pPr>
      <w:r w:rsidRPr="004845EB">
        <w:rPr>
          <w:rFonts w:hint="eastAsia"/>
          <w:b/>
          <w:i/>
          <w:sz w:val="22"/>
          <w:szCs w:val="22"/>
        </w:rPr>
        <w:t xml:space="preserve">Observation </w:t>
      </w:r>
      <w:r>
        <w:rPr>
          <w:b/>
          <w:i/>
          <w:sz w:val="22"/>
          <w:szCs w:val="22"/>
        </w:rPr>
        <w:t>2:</w:t>
      </w:r>
      <w:r>
        <w:rPr>
          <w:rFonts w:eastAsia="Malgun Gothic" w:hint="eastAsia"/>
          <w:sz w:val="22"/>
          <w:szCs w:val="22"/>
        </w:rPr>
        <w:t xml:space="preserve"> Two approaches for </w:t>
      </w:r>
      <w:r>
        <w:rPr>
          <w:rFonts w:eastAsia="Malgun Gothic"/>
          <w:sz w:val="22"/>
          <w:szCs w:val="22"/>
        </w:rPr>
        <w:t>Doppler shift</w:t>
      </w:r>
      <w:r>
        <w:rPr>
          <w:rFonts w:eastAsia="Malgun Gothic" w:hint="eastAsia"/>
          <w:sz w:val="22"/>
          <w:szCs w:val="22"/>
        </w:rPr>
        <w:t xml:space="preserve"> compensation</w:t>
      </w:r>
      <w:r>
        <w:rPr>
          <w:rFonts w:eastAsia="Malgun Gothic"/>
          <w:sz w:val="22"/>
          <w:szCs w:val="22"/>
        </w:rPr>
        <w:t>, i.e., autonomous compensation at the UE and gNB indication,</w:t>
      </w:r>
      <w:r>
        <w:rPr>
          <w:rFonts w:eastAsia="Malgun Gothic" w:hint="eastAsia"/>
          <w:sz w:val="22"/>
          <w:szCs w:val="22"/>
        </w:rPr>
        <w:t xml:space="preserve"> are feasible. </w:t>
      </w:r>
    </w:p>
    <w:p w14:paraId="11FA1DC1" w14:textId="2C9B7C55" w:rsidR="002E1188" w:rsidRPr="001D75BE" w:rsidRDefault="002E1188" w:rsidP="00847FA1">
      <w:pPr>
        <w:wordWrap/>
        <w:spacing w:before="60" w:after="60" w:line="288" w:lineRule="auto"/>
        <w:jc w:val="both"/>
        <w:rPr>
          <w:sz w:val="22"/>
          <w:szCs w:val="22"/>
        </w:rPr>
      </w:pPr>
      <w:r w:rsidRPr="001D75BE">
        <w:rPr>
          <w:b/>
          <w:i/>
          <w:sz w:val="22"/>
          <w:szCs w:val="22"/>
        </w:rPr>
        <w:t>Proposal 1</w:t>
      </w:r>
      <w:r w:rsidRPr="001D75BE">
        <w:rPr>
          <w:i/>
          <w:sz w:val="22"/>
          <w:szCs w:val="22"/>
        </w:rPr>
        <w:t xml:space="preserve">: </w:t>
      </w:r>
      <w:r w:rsidR="00AE1A7B" w:rsidRPr="00AE1A7B">
        <w:rPr>
          <w:sz w:val="22"/>
          <w:szCs w:val="22"/>
        </w:rPr>
        <w:t>Range of UL TA should be increased to accommodate large propagation delay</w:t>
      </w:r>
      <w:bookmarkStart w:id="4" w:name="_GoBack"/>
      <w:bookmarkEnd w:id="4"/>
      <w:r w:rsidRPr="001D75BE">
        <w:rPr>
          <w:sz w:val="22"/>
          <w:szCs w:val="22"/>
        </w:rPr>
        <w:t>.</w:t>
      </w:r>
    </w:p>
    <w:p w14:paraId="0EA46570" w14:textId="77777777" w:rsidR="00A116EB" w:rsidRPr="001D75BE" w:rsidRDefault="00A116EB" w:rsidP="00A116EB">
      <w:pPr>
        <w:wordWrap/>
        <w:spacing w:before="60" w:after="60" w:line="288" w:lineRule="auto"/>
        <w:jc w:val="both"/>
        <w:rPr>
          <w:sz w:val="22"/>
          <w:szCs w:val="22"/>
        </w:rPr>
      </w:pPr>
      <w:r w:rsidRPr="001D75BE">
        <w:rPr>
          <w:b/>
          <w:i/>
          <w:sz w:val="22"/>
          <w:szCs w:val="22"/>
        </w:rPr>
        <w:lastRenderedPageBreak/>
        <w:t>Proposal 2</w:t>
      </w:r>
      <w:r w:rsidRPr="001D75BE">
        <w:rPr>
          <w:i/>
          <w:sz w:val="22"/>
          <w:szCs w:val="22"/>
        </w:rPr>
        <w:t xml:space="preserve">: </w:t>
      </w:r>
      <w:r w:rsidRPr="001D75BE">
        <w:rPr>
          <w:sz w:val="22"/>
          <w:szCs w:val="22"/>
        </w:rPr>
        <w:t xml:space="preserve">Multiple </w:t>
      </w:r>
      <w:r>
        <w:rPr>
          <w:sz w:val="22"/>
          <w:szCs w:val="22"/>
        </w:rPr>
        <w:t>reference points</w:t>
      </w:r>
      <w:r w:rsidRPr="001D75BE">
        <w:rPr>
          <w:sz w:val="22"/>
          <w:szCs w:val="22"/>
        </w:rPr>
        <w:t xml:space="preserve"> </w:t>
      </w:r>
      <w:r>
        <w:rPr>
          <w:sz w:val="22"/>
          <w:szCs w:val="22"/>
        </w:rPr>
        <w:t>and common TA values should</w:t>
      </w:r>
      <w:r w:rsidRPr="001D75BE">
        <w:rPr>
          <w:sz w:val="22"/>
          <w:szCs w:val="22"/>
        </w:rPr>
        <w:t xml:space="preserve"> be considered for extremely large cells.</w:t>
      </w:r>
    </w:p>
    <w:p w14:paraId="050070F2" w14:textId="0ED6BA5C" w:rsidR="002E1188" w:rsidRPr="001D75BE" w:rsidRDefault="002E1188" w:rsidP="00847FA1">
      <w:pPr>
        <w:wordWrap/>
        <w:spacing w:before="60" w:after="60" w:line="288" w:lineRule="auto"/>
        <w:jc w:val="both"/>
        <w:rPr>
          <w:sz w:val="22"/>
          <w:szCs w:val="22"/>
        </w:rPr>
      </w:pPr>
      <w:r w:rsidRPr="001D75BE">
        <w:rPr>
          <w:b/>
          <w:i/>
          <w:sz w:val="22"/>
          <w:szCs w:val="22"/>
        </w:rPr>
        <w:t xml:space="preserve">Proposal </w:t>
      </w:r>
      <w:r w:rsidR="00A116EB">
        <w:rPr>
          <w:b/>
          <w:i/>
          <w:sz w:val="22"/>
          <w:szCs w:val="22"/>
        </w:rPr>
        <w:t>3</w:t>
      </w:r>
      <w:r w:rsidRPr="001D75BE">
        <w:rPr>
          <w:sz w:val="22"/>
          <w:szCs w:val="22"/>
        </w:rPr>
        <w:t>: Singaling NTN type in SIB should be supported.</w:t>
      </w:r>
    </w:p>
    <w:p w14:paraId="7CF9AFEE" w14:textId="77777777" w:rsidR="000776FF" w:rsidRPr="00C2757D" w:rsidRDefault="000776FF" w:rsidP="00847FA1">
      <w:pPr>
        <w:pStyle w:val="Heading1"/>
        <w:numPr>
          <w:ilvl w:val="0"/>
          <w:numId w:val="0"/>
        </w:numPr>
        <w:spacing w:after="60"/>
        <w:rPr>
          <w:rFonts w:eastAsia="Batang"/>
          <w:color w:val="000000"/>
          <w:lang w:val="pt-BR" w:eastAsia="ko-KR"/>
        </w:rPr>
      </w:pPr>
      <w:r w:rsidRPr="00C2757D">
        <w:rPr>
          <w:color w:val="000000"/>
          <w:lang w:val="pt-BR" w:eastAsia="ko-KR"/>
        </w:rPr>
        <w:t>References</w:t>
      </w:r>
    </w:p>
    <w:p w14:paraId="3ACC1FC6" w14:textId="0ACF69E9" w:rsidR="00A116EB" w:rsidRPr="002D4E38" w:rsidRDefault="00993B62" w:rsidP="002D4E38">
      <w:pPr>
        <w:pStyle w:val="2222"/>
        <w:numPr>
          <w:ilvl w:val="0"/>
          <w:numId w:val="13"/>
        </w:numPr>
        <w:spacing w:after="120" w:line="288" w:lineRule="auto"/>
        <w:ind w:left="426" w:firstLineChars="0" w:hanging="426"/>
        <w:rPr>
          <w:rFonts w:eastAsia="MS Mincho"/>
          <w:bCs/>
          <w:sz w:val="22"/>
          <w:szCs w:val="22"/>
          <w:lang w:eastAsia="ja-JP"/>
        </w:rPr>
      </w:pPr>
      <w:r w:rsidRPr="001D75BE">
        <w:rPr>
          <w:rFonts w:eastAsia="MS Mincho"/>
          <w:bCs/>
          <w:sz w:val="22"/>
          <w:szCs w:val="22"/>
          <w:lang w:eastAsia="ja-JP"/>
        </w:rPr>
        <w:t>RP-193144, “Solutions for NR to support non-terrestrial networks (NTN)”.</w:t>
      </w:r>
    </w:p>
    <w:p w14:paraId="3964F5ED" w14:textId="77777777" w:rsidR="002A1A45" w:rsidRPr="008B5DA3" w:rsidRDefault="002A1A45" w:rsidP="00847FA1">
      <w:pPr>
        <w:pStyle w:val="2222"/>
        <w:spacing w:after="120" w:line="288" w:lineRule="auto"/>
        <w:ind w:firstLineChars="0" w:firstLine="0"/>
        <w:rPr>
          <w:rFonts w:eastAsia="MS Mincho"/>
          <w:bCs/>
          <w:lang w:eastAsia="ja-JP"/>
        </w:rPr>
      </w:pPr>
    </w:p>
    <w:sectPr w:rsidR="002A1A45" w:rsidRPr="008B5DA3" w:rsidSect="000973C8">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7F4CC8" w14:textId="77777777" w:rsidR="0082754D" w:rsidRPr="00C47AD2" w:rsidRDefault="0082754D">
      <w:pPr>
        <w:rPr>
          <w:rFonts w:ascii="Arial" w:hAnsi="Arial"/>
          <w:sz w:val="12"/>
        </w:rPr>
      </w:pPr>
      <w:r>
        <w:separator/>
      </w:r>
    </w:p>
  </w:endnote>
  <w:endnote w:type="continuationSeparator" w:id="0">
    <w:p w14:paraId="1987C240" w14:textId="77777777" w:rsidR="0082754D" w:rsidRPr="00C47AD2" w:rsidRDefault="0082754D">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9A41A" w14:textId="77777777"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BF59C" w14:textId="759DA2EC" w:rsidR="001514D4" w:rsidRDefault="001514D4">
    <w:pPr>
      <w:pStyle w:val="Footer"/>
    </w:pPr>
    <w:r>
      <w:fldChar w:fldCharType="begin"/>
    </w:r>
    <w:r>
      <w:instrText xml:space="preserve"> PAGE   \* MERGEFORMAT </w:instrText>
    </w:r>
    <w:r>
      <w:fldChar w:fldCharType="separate"/>
    </w:r>
    <w:r w:rsidR="00AE1A7B">
      <w:t>6</w:t>
    </w:r>
    <w:r>
      <w:fldChar w:fldCharType="end"/>
    </w:r>
  </w:p>
  <w:p w14:paraId="45CA142C" w14:textId="77777777"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67302" w14:textId="77777777" w:rsidR="0082754D" w:rsidRPr="00C47AD2" w:rsidRDefault="0082754D">
      <w:pPr>
        <w:rPr>
          <w:rFonts w:ascii="Arial" w:hAnsi="Arial"/>
          <w:sz w:val="12"/>
        </w:rPr>
      </w:pPr>
      <w:r>
        <w:separator/>
      </w:r>
    </w:p>
  </w:footnote>
  <w:footnote w:type="continuationSeparator" w:id="0">
    <w:p w14:paraId="5BCBB91E" w14:textId="77777777" w:rsidR="0082754D" w:rsidRPr="00C47AD2" w:rsidRDefault="0082754D">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7C2879"/>
    <w:multiLevelType w:val="hybridMultilevel"/>
    <w:tmpl w:val="E7AEC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84765"/>
    <w:multiLevelType w:val="hybridMultilevel"/>
    <w:tmpl w:val="4DFAE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cs="Times New Roman" w:hint="default"/>
      </w:rPr>
    </w:lvl>
    <w:lvl w:ilvl="1" w:tplc="CCDC92CE">
      <w:numFmt w:val="bullet"/>
      <w:lvlText w:val="–"/>
      <w:lvlJc w:val="left"/>
      <w:pPr>
        <w:tabs>
          <w:tab w:val="num" w:pos="1440"/>
        </w:tabs>
        <w:ind w:left="1440" w:hanging="360"/>
      </w:pPr>
      <w:rPr>
        <w:rFonts w:ascii="Arial" w:hAnsi="Arial" w:cs="Times New Roman" w:hint="default"/>
      </w:rPr>
    </w:lvl>
    <w:lvl w:ilvl="2" w:tplc="50DC8560">
      <w:numFmt w:val="bullet"/>
      <w:lvlText w:val="•"/>
      <w:lvlJc w:val="left"/>
      <w:pPr>
        <w:tabs>
          <w:tab w:val="num" w:pos="2160"/>
        </w:tabs>
        <w:ind w:left="2160" w:hanging="360"/>
      </w:pPr>
      <w:rPr>
        <w:rFonts w:ascii="Arial" w:hAnsi="Arial" w:cs="Times New Roman" w:hint="default"/>
      </w:rPr>
    </w:lvl>
    <w:lvl w:ilvl="3" w:tplc="1212BB2E">
      <w:numFmt w:val="bullet"/>
      <w:lvlText w:val="–"/>
      <w:lvlJc w:val="left"/>
      <w:pPr>
        <w:tabs>
          <w:tab w:val="num" w:pos="2880"/>
        </w:tabs>
        <w:ind w:left="2880" w:hanging="360"/>
      </w:pPr>
      <w:rPr>
        <w:rFonts w:ascii="Arial" w:hAnsi="Arial" w:cs="Times New Roman" w:hint="default"/>
      </w:rPr>
    </w:lvl>
    <w:lvl w:ilvl="4" w:tplc="8092C33C">
      <w:start w:val="1"/>
      <w:numFmt w:val="bullet"/>
      <w:lvlText w:val="•"/>
      <w:lvlJc w:val="left"/>
      <w:pPr>
        <w:tabs>
          <w:tab w:val="num" w:pos="3600"/>
        </w:tabs>
        <w:ind w:left="3600" w:hanging="360"/>
      </w:pPr>
      <w:rPr>
        <w:rFonts w:ascii="Arial" w:hAnsi="Arial" w:cs="Times New Roman" w:hint="default"/>
      </w:rPr>
    </w:lvl>
    <w:lvl w:ilvl="5" w:tplc="4F420B06">
      <w:start w:val="1"/>
      <w:numFmt w:val="bullet"/>
      <w:lvlText w:val="•"/>
      <w:lvlJc w:val="left"/>
      <w:pPr>
        <w:tabs>
          <w:tab w:val="num" w:pos="4320"/>
        </w:tabs>
        <w:ind w:left="4320" w:hanging="360"/>
      </w:pPr>
      <w:rPr>
        <w:rFonts w:ascii="Arial" w:hAnsi="Arial" w:cs="Times New Roman" w:hint="default"/>
      </w:rPr>
    </w:lvl>
    <w:lvl w:ilvl="6" w:tplc="4C04BFE8">
      <w:start w:val="1"/>
      <w:numFmt w:val="bullet"/>
      <w:lvlText w:val="•"/>
      <w:lvlJc w:val="left"/>
      <w:pPr>
        <w:tabs>
          <w:tab w:val="num" w:pos="5040"/>
        </w:tabs>
        <w:ind w:left="5040" w:hanging="360"/>
      </w:pPr>
      <w:rPr>
        <w:rFonts w:ascii="Arial" w:hAnsi="Arial" w:cs="Times New Roman" w:hint="default"/>
      </w:rPr>
    </w:lvl>
    <w:lvl w:ilvl="7" w:tplc="D6B43EFA">
      <w:start w:val="1"/>
      <w:numFmt w:val="bullet"/>
      <w:lvlText w:val="•"/>
      <w:lvlJc w:val="left"/>
      <w:pPr>
        <w:tabs>
          <w:tab w:val="num" w:pos="5760"/>
        </w:tabs>
        <w:ind w:left="5760" w:hanging="360"/>
      </w:pPr>
      <w:rPr>
        <w:rFonts w:ascii="Arial" w:hAnsi="Arial" w:cs="Times New Roman" w:hint="default"/>
      </w:rPr>
    </w:lvl>
    <w:lvl w:ilvl="8" w:tplc="8CF29F6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3C126E7"/>
    <w:multiLevelType w:val="hybridMultilevel"/>
    <w:tmpl w:val="37FC3CA8"/>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3DE41CA9"/>
    <w:multiLevelType w:val="hybridMultilevel"/>
    <w:tmpl w:val="6248EAE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8F61A81"/>
    <w:multiLevelType w:val="hybridMultilevel"/>
    <w:tmpl w:val="DBE2F586"/>
    <w:lvl w:ilvl="0" w:tplc="CF4ACAF4">
      <w:start w:val="1"/>
      <w:numFmt w:val="bullet"/>
      <w:lvlText w:val=""/>
      <w:lvlJc w:val="left"/>
      <w:pPr>
        <w:ind w:left="720" w:hanging="36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A8A3C7B"/>
    <w:multiLevelType w:val="hybridMultilevel"/>
    <w:tmpl w:val="E3F8224E"/>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8"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9959DF"/>
    <w:multiLevelType w:val="hybridMultilevel"/>
    <w:tmpl w:val="5CD6D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3"/>
  </w:num>
  <w:num w:numId="5">
    <w:abstractNumId w:val="21"/>
  </w:num>
  <w:num w:numId="6">
    <w:abstractNumId w:val="40"/>
  </w:num>
  <w:num w:numId="7">
    <w:abstractNumId w:val="23"/>
  </w:num>
  <w:num w:numId="8">
    <w:abstractNumId w:val="19"/>
  </w:num>
  <w:num w:numId="9">
    <w:abstractNumId w:val="38"/>
  </w:num>
  <w:num w:numId="10">
    <w:abstractNumId w:val="2"/>
  </w:num>
  <w:num w:numId="11">
    <w:abstractNumId w:val="7"/>
  </w:num>
  <w:num w:numId="12">
    <w:abstractNumId w:val="39"/>
  </w:num>
  <w:num w:numId="13">
    <w:abstractNumId w:val="1"/>
  </w:num>
  <w:num w:numId="14">
    <w:abstractNumId w:val="17"/>
  </w:num>
  <w:num w:numId="15">
    <w:abstractNumId w:val="6"/>
  </w:num>
  <w:num w:numId="16">
    <w:abstractNumId w:val="31"/>
  </w:num>
  <w:num w:numId="17">
    <w:abstractNumId w:val="3"/>
  </w:num>
  <w:num w:numId="18">
    <w:abstractNumId w:val="24"/>
  </w:num>
  <w:num w:numId="19">
    <w:abstractNumId w:val="36"/>
  </w:num>
  <w:num w:numId="20">
    <w:abstractNumId w:val="9"/>
  </w:num>
  <w:num w:numId="21">
    <w:abstractNumId w:val="29"/>
  </w:num>
  <w:num w:numId="22">
    <w:abstractNumId w:val="5"/>
  </w:num>
  <w:num w:numId="23">
    <w:abstractNumId w:val="20"/>
  </w:num>
  <w:num w:numId="24">
    <w:abstractNumId w:val="30"/>
  </w:num>
  <w:num w:numId="25">
    <w:abstractNumId w:val="8"/>
  </w:num>
  <w:num w:numId="26">
    <w:abstractNumId w:val="16"/>
  </w:num>
  <w:num w:numId="27">
    <w:abstractNumId w:val="10"/>
  </w:num>
  <w:num w:numId="28">
    <w:abstractNumId w:val="32"/>
  </w:num>
  <w:num w:numId="29">
    <w:abstractNumId w:val="34"/>
  </w:num>
  <w:num w:numId="30">
    <w:abstractNumId w:val="18"/>
  </w:num>
  <w:num w:numId="31">
    <w:abstractNumId w:val="33"/>
  </w:num>
  <w:num w:numId="32">
    <w:abstractNumId w:val="22"/>
  </w:num>
  <w:num w:numId="33">
    <w:abstractNumId w:val="11"/>
  </w:num>
  <w:num w:numId="34">
    <w:abstractNumId w:val="35"/>
  </w:num>
  <w:num w:numId="35">
    <w:abstractNumId w:val="28"/>
  </w:num>
  <w:num w:numId="36">
    <w:abstractNumId w:val="25"/>
  </w:num>
  <w:num w:numId="37">
    <w:abstractNumId w:val="14"/>
  </w:num>
  <w:num w:numId="38">
    <w:abstractNumId w:val="4"/>
  </w:num>
  <w:num w:numId="39">
    <w:abstractNumId w:val="12"/>
  </w:num>
  <w:num w:numId="40">
    <w:abstractNumId w:val="27"/>
  </w:num>
  <w:num w:numId="41">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E02"/>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5C"/>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162"/>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DAB"/>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712"/>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E38"/>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5EB"/>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BEE"/>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3F55"/>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160"/>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1EC"/>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DD4"/>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3CA"/>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17"/>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2F3B"/>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4D"/>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47FA1"/>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1FB5"/>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CFE"/>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2FF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EDA"/>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6E66"/>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6EB"/>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54"/>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A7B"/>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0B7"/>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2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013"/>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986"/>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290"/>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428"/>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34"/>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3F7E"/>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4"/>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5FAA"/>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列表段落 Char,¥¡¡¡¡ì¬º¥¹¥È¶ÎÂä Char,ÁÐ³ö¶ÎÂä Char,¥ê¥¹¥È¶ÎÂä Char,列表段落1 Char,—ño’i—Ž Char,Lettre d'introduction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7BDE6-489D-4870-AB1F-E75F03133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1586</Words>
  <Characters>9044</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10609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2</cp:revision>
  <cp:lastPrinted>2010-04-04T18:18:00Z</cp:lastPrinted>
  <dcterms:created xsi:type="dcterms:W3CDTF">2020-08-07T08:07:00Z</dcterms:created>
  <dcterms:modified xsi:type="dcterms:W3CDTF">2020-08-07T08:07:00Z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